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5EF7" w14:textId="77777777" w:rsidR="006B734B" w:rsidRDefault="006B734B" w:rsidP="006B734B">
      <w:pPr>
        <w:pStyle w:val="Heading1"/>
      </w:pPr>
    </w:p>
    <w:p w14:paraId="2AF41EF8" w14:textId="77777777" w:rsidR="006B734B" w:rsidRDefault="006B734B" w:rsidP="006B734B"/>
    <w:p w14:paraId="3D2C782E" w14:textId="77777777" w:rsidR="006B734B" w:rsidRDefault="006B734B" w:rsidP="006B734B"/>
    <w:p w14:paraId="4323FAFB" w14:textId="77777777" w:rsidR="006B734B" w:rsidRPr="006B734B" w:rsidRDefault="006B734B" w:rsidP="006B734B"/>
    <w:p w14:paraId="1EBA2ECA" w14:textId="77777777" w:rsidR="006B734B" w:rsidRDefault="006B734B" w:rsidP="006B734B"/>
    <w:p w14:paraId="2A5E2F3C" w14:textId="0AF723AF" w:rsidR="006B734B" w:rsidRPr="00E37FD1" w:rsidRDefault="00E37FD1" w:rsidP="006B734B">
      <w:pPr>
        <w:jc w:val="center"/>
        <w:rPr>
          <w:rFonts w:cs="Arial"/>
          <w:color w:val="000000" w:themeColor="text1"/>
          <w:sz w:val="52"/>
          <w:szCs w:val="52"/>
          <w:lang w:val="en-US"/>
        </w:rPr>
      </w:pPr>
      <w:r w:rsidRPr="00E37FD1">
        <w:rPr>
          <w:rFonts w:cs="Arial"/>
          <w:color w:val="000000" w:themeColor="text1"/>
          <w:sz w:val="52"/>
          <w:szCs w:val="52"/>
          <w:lang w:val="en-US"/>
        </w:rPr>
        <w:t>Flood Forecasting</w:t>
      </w:r>
      <w:r w:rsidR="006B734B" w:rsidRPr="00E37FD1">
        <w:rPr>
          <w:rFonts w:cs="Arial"/>
          <w:color w:val="000000" w:themeColor="text1"/>
          <w:sz w:val="52"/>
          <w:szCs w:val="52"/>
          <w:lang w:val="en-US"/>
        </w:rPr>
        <w:t xml:space="preserve"> Iberdrola (PoC)</w:t>
      </w:r>
      <w:r w:rsidR="006B734B" w:rsidRPr="00E37FD1">
        <w:rPr>
          <w:rFonts w:cs="Arial"/>
          <w:color w:val="000000" w:themeColor="text1"/>
          <w:sz w:val="52"/>
          <w:szCs w:val="52"/>
          <w:lang w:val="en-US"/>
        </w:rPr>
        <w:br/>
      </w:r>
      <w:r w:rsidR="006B734B" w:rsidRPr="00E37FD1">
        <w:rPr>
          <w:rFonts w:cs="Arial"/>
          <w:i/>
          <w:iCs/>
          <w:color w:val="000000" w:themeColor="text1"/>
          <w:lang w:val="en-US"/>
        </w:rPr>
        <w:t>Func</w:t>
      </w:r>
      <w:r w:rsidRPr="00E37FD1">
        <w:rPr>
          <w:rFonts w:cs="Arial"/>
          <w:i/>
          <w:iCs/>
          <w:color w:val="000000" w:themeColor="text1"/>
          <w:lang w:val="en-US"/>
        </w:rPr>
        <w:t>t</w:t>
      </w:r>
      <w:r w:rsidR="006B734B" w:rsidRPr="00E37FD1">
        <w:rPr>
          <w:rFonts w:cs="Arial"/>
          <w:i/>
          <w:iCs/>
          <w:color w:val="000000" w:themeColor="text1"/>
          <w:lang w:val="en-US"/>
        </w:rPr>
        <w:t>ional</w:t>
      </w:r>
      <w:r w:rsidRPr="00E37FD1">
        <w:rPr>
          <w:rFonts w:cs="Arial"/>
          <w:i/>
          <w:iCs/>
          <w:color w:val="000000" w:themeColor="text1"/>
          <w:lang w:val="en-US"/>
        </w:rPr>
        <w:t xml:space="preserve"> </w:t>
      </w:r>
      <w:r>
        <w:rPr>
          <w:rFonts w:cs="Arial"/>
          <w:i/>
          <w:iCs/>
          <w:color w:val="000000" w:themeColor="text1"/>
          <w:lang w:val="en-US"/>
        </w:rPr>
        <w:t>Documentation</w:t>
      </w:r>
    </w:p>
    <w:p w14:paraId="40288652" w14:textId="77777777" w:rsidR="006B734B" w:rsidRPr="00E37FD1" w:rsidRDefault="006B734B" w:rsidP="006B734B">
      <w:pPr>
        <w:rPr>
          <w:lang w:val="en-US"/>
        </w:rPr>
      </w:pPr>
    </w:p>
    <w:p w14:paraId="70C53B5A" w14:textId="77777777" w:rsidR="006B734B" w:rsidRPr="00E37FD1" w:rsidRDefault="006B734B" w:rsidP="006B734B">
      <w:pPr>
        <w:rPr>
          <w:lang w:val="en-US"/>
        </w:rPr>
      </w:pPr>
    </w:p>
    <w:p w14:paraId="0B36CF9F" w14:textId="77777777" w:rsidR="006B734B" w:rsidRPr="00E37FD1" w:rsidRDefault="006B734B" w:rsidP="006B734B">
      <w:pPr>
        <w:rPr>
          <w:lang w:val="en-US"/>
        </w:rPr>
      </w:pPr>
    </w:p>
    <w:p w14:paraId="1840B358" w14:textId="77777777" w:rsidR="006B734B" w:rsidRPr="00E37FD1" w:rsidRDefault="006B734B" w:rsidP="006B734B">
      <w:pPr>
        <w:rPr>
          <w:lang w:val="en-US"/>
        </w:rPr>
      </w:pPr>
    </w:p>
    <w:p w14:paraId="2A52A4BF" w14:textId="77777777" w:rsidR="006B734B" w:rsidRPr="00E37FD1" w:rsidRDefault="006B734B" w:rsidP="006B734B">
      <w:pPr>
        <w:rPr>
          <w:lang w:val="en-US"/>
        </w:rPr>
      </w:pPr>
    </w:p>
    <w:p w14:paraId="39F0E8CE" w14:textId="77777777" w:rsidR="006B734B" w:rsidRPr="00E37FD1" w:rsidRDefault="006B734B" w:rsidP="006B734B">
      <w:pPr>
        <w:rPr>
          <w:lang w:val="en-US"/>
        </w:rPr>
      </w:pPr>
    </w:p>
    <w:p w14:paraId="67D82940" w14:textId="77777777" w:rsidR="006B734B" w:rsidRPr="00E37FD1" w:rsidRDefault="006B734B" w:rsidP="006B734B">
      <w:pPr>
        <w:rPr>
          <w:lang w:val="en-US"/>
        </w:rPr>
      </w:pPr>
    </w:p>
    <w:p w14:paraId="022D6627" w14:textId="77777777" w:rsidR="006B734B" w:rsidRPr="00E37FD1" w:rsidRDefault="006B734B" w:rsidP="006B734B">
      <w:pPr>
        <w:rPr>
          <w:lang w:val="en-US"/>
        </w:rPr>
      </w:pPr>
    </w:p>
    <w:p w14:paraId="06E9EFF0" w14:textId="77777777" w:rsidR="006B734B" w:rsidRPr="00E37FD1" w:rsidRDefault="006B734B" w:rsidP="006B734B">
      <w:pPr>
        <w:rPr>
          <w:lang w:val="en-US"/>
        </w:rPr>
      </w:pPr>
    </w:p>
    <w:p w14:paraId="27A30647" w14:textId="77777777" w:rsidR="006B734B" w:rsidRPr="00E37FD1" w:rsidRDefault="006B734B" w:rsidP="006B734B">
      <w:pPr>
        <w:rPr>
          <w:lang w:val="en-US"/>
        </w:rPr>
      </w:pPr>
    </w:p>
    <w:p w14:paraId="2D71AF8B" w14:textId="77777777" w:rsidR="006B734B" w:rsidRPr="00E37FD1" w:rsidRDefault="006B734B" w:rsidP="006B734B">
      <w:pPr>
        <w:rPr>
          <w:lang w:val="en-US"/>
        </w:rPr>
      </w:pPr>
    </w:p>
    <w:p w14:paraId="629543F0" w14:textId="77777777" w:rsidR="006B734B" w:rsidRPr="00E37FD1" w:rsidRDefault="006B734B" w:rsidP="006B734B">
      <w:pPr>
        <w:rPr>
          <w:lang w:val="en-US"/>
        </w:rPr>
      </w:pPr>
    </w:p>
    <w:p w14:paraId="5333124C" w14:textId="77777777" w:rsidR="006B734B" w:rsidRPr="00E37FD1" w:rsidRDefault="006B734B" w:rsidP="006B734B">
      <w:pPr>
        <w:rPr>
          <w:lang w:val="en-US"/>
        </w:rPr>
      </w:pPr>
    </w:p>
    <w:p w14:paraId="03ECBAF8" w14:textId="77777777" w:rsidR="006B734B" w:rsidRPr="00E37FD1" w:rsidRDefault="006B734B" w:rsidP="006B734B">
      <w:pPr>
        <w:rPr>
          <w:lang w:val="en-US"/>
        </w:rPr>
      </w:pPr>
    </w:p>
    <w:p w14:paraId="00586715" w14:textId="77777777" w:rsidR="006B734B" w:rsidRPr="00E37FD1" w:rsidRDefault="006B734B" w:rsidP="006B734B">
      <w:pPr>
        <w:rPr>
          <w:lang w:val="en-US"/>
        </w:rPr>
      </w:pPr>
    </w:p>
    <w:p w14:paraId="2AC7A524" w14:textId="77777777" w:rsidR="006B734B" w:rsidRPr="00E37FD1" w:rsidRDefault="006B734B" w:rsidP="006B734B">
      <w:pPr>
        <w:rPr>
          <w:lang w:val="en-US"/>
        </w:rPr>
      </w:pPr>
    </w:p>
    <w:p w14:paraId="3ACFF07A" w14:textId="77777777" w:rsidR="006B734B" w:rsidRPr="00E37FD1" w:rsidRDefault="006B734B" w:rsidP="006B734B">
      <w:pPr>
        <w:rPr>
          <w:lang w:val="en-US"/>
        </w:rPr>
      </w:pPr>
    </w:p>
    <w:p w14:paraId="55A84327" w14:textId="77777777" w:rsidR="006B734B" w:rsidRPr="00E37FD1" w:rsidRDefault="006B734B" w:rsidP="006B734B">
      <w:pPr>
        <w:rPr>
          <w:lang w:val="en-US"/>
        </w:rPr>
      </w:pPr>
    </w:p>
    <w:p w14:paraId="2FA09A59" w14:textId="77777777" w:rsidR="006B734B" w:rsidRPr="00E37FD1" w:rsidRDefault="006B734B" w:rsidP="006B734B">
      <w:pPr>
        <w:rPr>
          <w:lang w:val="en-US"/>
        </w:rPr>
      </w:pPr>
    </w:p>
    <w:p w14:paraId="3073E6D6" w14:textId="77777777" w:rsidR="006B734B" w:rsidRPr="00E37FD1" w:rsidRDefault="006B734B" w:rsidP="006B734B">
      <w:pPr>
        <w:rPr>
          <w:lang w:val="en-US"/>
        </w:rPr>
      </w:pPr>
    </w:p>
    <w:sdt>
      <w:sdtPr>
        <w:rPr>
          <w:rFonts w:asciiTheme="minorHAnsi" w:eastAsiaTheme="minorHAnsi" w:hAnsiTheme="minorHAnsi" w:cstheme="minorBidi"/>
          <w:color w:val="auto"/>
          <w:kern w:val="2"/>
          <w:sz w:val="24"/>
          <w:szCs w:val="24"/>
          <w:lang w:val="es-ES"/>
          <w14:ligatures w14:val="standardContextual"/>
        </w:rPr>
        <w:id w:val="1093970476"/>
        <w:docPartObj>
          <w:docPartGallery w:val="Table of Contents"/>
          <w:docPartUnique/>
        </w:docPartObj>
      </w:sdtPr>
      <w:sdtEndPr>
        <w:rPr>
          <w:b/>
          <w:bCs/>
          <w:noProof/>
        </w:rPr>
      </w:sdtEndPr>
      <w:sdtContent>
        <w:p w14:paraId="1A999D09" w14:textId="163C4119" w:rsidR="008B0C13" w:rsidRDefault="008B0C13">
          <w:pPr>
            <w:pStyle w:val="TOCHeading"/>
          </w:pPr>
          <w:r>
            <w:t>Table of Contents</w:t>
          </w:r>
        </w:p>
        <w:p w14:paraId="0C3DFF3B" w14:textId="77777777" w:rsidR="00E37FD1" w:rsidRDefault="00E37FD1" w:rsidP="00E37FD1">
          <w:pPr>
            <w:rPr>
              <w:lang w:val="en-US"/>
            </w:rPr>
          </w:pPr>
        </w:p>
        <w:p w14:paraId="65036EC9" w14:textId="3B55CD5F" w:rsidR="00E37FD1" w:rsidRDefault="008B0C13">
          <w:pPr>
            <w:pStyle w:val="TO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191888368" w:history="1">
            <w:r w:rsidR="00E37FD1" w:rsidRPr="00777CF1">
              <w:rPr>
                <w:rStyle w:val="Hyperlink"/>
                <w:noProof/>
              </w:rPr>
              <w:t>1. Introduction</w:t>
            </w:r>
            <w:r w:rsidR="00E37FD1">
              <w:rPr>
                <w:noProof/>
                <w:webHidden/>
              </w:rPr>
              <w:tab/>
            </w:r>
            <w:r w:rsidR="00E37FD1">
              <w:rPr>
                <w:noProof/>
                <w:webHidden/>
              </w:rPr>
              <w:fldChar w:fldCharType="begin"/>
            </w:r>
            <w:r w:rsidR="00E37FD1">
              <w:rPr>
                <w:noProof/>
                <w:webHidden/>
              </w:rPr>
              <w:instrText xml:space="preserve"> PAGEREF _Toc191888368 \h </w:instrText>
            </w:r>
            <w:r w:rsidR="00E37FD1">
              <w:rPr>
                <w:noProof/>
                <w:webHidden/>
              </w:rPr>
            </w:r>
            <w:r w:rsidR="00E37FD1">
              <w:rPr>
                <w:noProof/>
                <w:webHidden/>
              </w:rPr>
              <w:fldChar w:fldCharType="separate"/>
            </w:r>
            <w:r w:rsidR="00E37FD1">
              <w:rPr>
                <w:noProof/>
                <w:webHidden/>
              </w:rPr>
              <w:t>3</w:t>
            </w:r>
            <w:r w:rsidR="00E37FD1">
              <w:rPr>
                <w:noProof/>
                <w:webHidden/>
              </w:rPr>
              <w:fldChar w:fldCharType="end"/>
            </w:r>
          </w:hyperlink>
        </w:p>
        <w:p w14:paraId="4FBDF873" w14:textId="251F31D1" w:rsidR="00E37FD1" w:rsidRDefault="00E37FD1">
          <w:pPr>
            <w:pStyle w:val="TOC1"/>
            <w:tabs>
              <w:tab w:val="right" w:leader="dot" w:pos="8494"/>
            </w:tabs>
            <w:rPr>
              <w:rFonts w:eastAsiaTheme="minorEastAsia"/>
              <w:noProof/>
              <w:lang w:eastAsia="es-ES"/>
            </w:rPr>
          </w:pPr>
          <w:hyperlink w:anchor="_Toc191888369" w:history="1">
            <w:r w:rsidRPr="00777CF1">
              <w:rPr>
                <w:rStyle w:val="Hyperlink"/>
                <w:noProof/>
              </w:rPr>
              <w:t>2. General Project Objective</w:t>
            </w:r>
            <w:r>
              <w:rPr>
                <w:noProof/>
                <w:webHidden/>
              </w:rPr>
              <w:tab/>
            </w:r>
            <w:r>
              <w:rPr>
                <w:noProof/>
                <w:webHidden/>
              </w:rPr>
              <w:fldChar w:fldCharType="begin"/>
            </w:r>
            <w:r>
              <w:rPr>
                <w:noProof/>
                <w:webHidden/>
              </w:rPr>
              <w:instrText xml:space="preserve"> PAGEREF _Toc191888369 \h </w:instrText>
            </w:r>
            <w:r>
              <w:rPr>
                <w:noProof/>
                <w:webHidden/>
              </w:rPr>
            </w:r>
            <w:r>
              <w:rPr>
                <w:noProof/>
                <w:webHidden/>
              </w:rPr>
              <w:fldChar w:fldCharType="separate"/>
            </w:r>
            <w:r>
              <w:rPr>
                <w:noProof/>
                <w:webHidden/>
              </w:rPr>
              <w:t>3</w:t>
            </w:r>
            <w:r>
              <w:rPr>
                <w:noProof/>
                <w:webHidden/>
              </w:rPr>
              <w:fldChar w:fldCharType="end"/>
            </w:r>
          </w:hyperlink>
        </w:p>
        <w:p w14:paraId="45F12F0A" w14:textId="38D9781C" w:rsidR="00E37FD1" w:rsidRDefault="00E37FD1">
          <w:pPr>
            <w:pStyle w:val="TOC1"/>
            <w:tabs>
              <w:tab w:val="right" w:leader="dot" w:pos="8494"/>
            </w:tabs>
            <w:rPr>
              <w:rFonts w:eastAsiaTheme="minorEastAsia"/>
              <w:noProof/>
              <w:lang w:eastAsia="es-ES"/>
            </w:rPr>
          </w:pPr>
          <w:hyperlink w:anchor="_Toc191888370" w:history="1">
            <w:r w:rsidRPr="00777CF1">
              <w:rPr>
                <w:rStyle w:val="Hyperlink"/>
                <w:noProof/>
                <w:lang w:val="en-US"/>
              </w:rPr>
              <w:t>3. Functional Process Description</w:t>
            </w:r>
            <w:r>
              <w:rPr>
                <w:noProof/>
                <w:webHidden/>
              </w:rPr>
              <w:tab/>
            </w:r>
            <w:r>
              <w:rPr>
                <w:noProof/>
                <w:webHidden/>
              </w:rPr>
              <w:fldChar w:fldCharType="begin"/>
            </w:r>
            <w:r>
              <w:rPr>
                <w:noProof/>
                <w:webHidden/>
              </w:rPr>
              <w:instrText xml:space="preserve"> PAGEREF _Toc191888370 \h </w:instrText>
            </w:r>
            <w:r>
              <w:rPr>
                <w:noProof/>
                <w:webHidden/>
              </w:rPr>
            </w:r>
            <w:r>
              <w:rPr>
                <w:noProof/>
                <w:webHidden/>
              </w:rPr>
              <w:fldChar w:fldCharType="separate"/>
            </w:r>
            <w:r>
              <w:rPr>
                <w:noProof/>
                <w:webHidden/>
              </w:rPr>
              <w:t>4</w:t>
            </w:r>
            <w:r>
              <w:rPr>
                <w:noProof/>
                <w:webHidden/>
              </w:rPr>
              <w:fldChar w:fldCharType="end"/>
            </w:r>
          </w:hyperlink>
        </w:p>
        <w:p w14:paraId="50A6759D" w14:textId="708107F7" w:rsidR="00E37FD1" w:rsidRDefault="00E37FD1">
          <w:pPr>
            <w:pStyle w:val="TOC3"/>
            <w:tabs>
              <w:tab w:val="right" w:leader="dot" w:pos="8494"/>
            </w:tabs>
            <w:rPr>
              <w:rFonts w:eastAsiaTheme="minorEastAsia"/>
              <w:noProof/>
              <w:lang w:eastAsia="es-ES"/>
            </w:rPr>
          </w:pPr>
          <w:hyperlink w:anchor="_Toc191888371" w:history="1">
            <w:r w:rsidRPr="00777CF1">
              <w:rPr>
                <w:rStyle w:val="Hyperlink"/>
                <w:noProof/>
                <w:lang w:val="en-US"/>
              </w:rPr>
              <w:t>3.1. Data Reception and Validation</w:t>
            </w:r>
            <w:r>
              <w:rPr>
                <w:noProof/>
                <w:webHidden/>
              </w:rPr>
              <w:tab/>
            </w:r>
            <w:r>
              <w:rPr>
                <w:noProof/>
                <w:webHidden/>
              </w:rPr>
              <w:fldChar w:fldCharType="begin"/>
            </w:r>
            <w:r>
              <w:rPr>
                <w:noProof/>
                <w:webHidden/>
              </w:rPr>
              <w:instrText xml:space="preserve"> PAGEREF _Toc191888371 \h </w:instrText>
            </w:r>
            <w:r>
              <w:rPr>
                <w:noProof/>
                <w:webHidden/>
              </w:rPr>
            </w:r>
            <w:r>
              <w:rPr>
                <w:noProof/>
                <w:webHidden/>
              </w:rPr>
              <w:fldChar w:fldCharType="separate"/>
            </w:r>
            <w:r>
              <w:rPr>
                <w:noProof/>
                <w:webHidden/>
              </w:rPr>
              <w:t>4</w:t>
            </w:r>
            <w:r>
              <w:rPr>
                <w:noProof/>
                <w:webHidden/>
              </w:rPr>
              <w:fldChar w:fldCharType="end"/>
            </w:r>
          </w:hyperlink>
        </w:p>
        <w:p w14:paraId="1CFADFDB" w14:textId="0815E93C" w:rsidR="00E37FD1" w:rsidRDefault="00E37FD1">
          <w:pPr>
            <w:pStyle w:val="TOC3"/>
            <w:tabs>
              <w:tab w:val="right" w:leader="dot" w:pos="8494"/>
            </w:tabs>
            <w:rPr>
              <w:rFonts w:eastAsiaTheme="minorEastAsia"/>
              <w:noProof/>
              <w:lang w:eastAsia="es-ES"/>
            </w:rPr>
          </w:pPr>
          <w:hyperlink w:anchor="_Toc191888372" w:history="1">
            <w:r w:rsidRPr="00777CF1">
              <w:rPr>
                <w:rStyle w:val="Hyperlink"/>
                <w:noProof/>
              </w:rPr>
              <w:t>3.2. Calculation of Individual Risks</w:t>
            </w:r>
            <w:r>
              <w:rPr>
                <w:noProof/>
                <w:webHidden/>
              </w:rPr>
              <w:tab/>
            </w:r>
            <w:r>
              <w:rPr>
                <w:noProof/>
                <w:webHidden/>
              </w:rPr>
              <w:fldChar w:fldCharType="begin"/>
            </w:r>
            <w:r>
              <w:rPr>
                <w:noProof/>
                <w:webHidden/>
              </w:rPr>
              <w:instrText xml:space="preserve"> PAGEREF _Toc191888372 \h </w:instrText>
            </w:r>
            <w:r>
              <w:rPr>
                <w:noProof/>
                <w:webHidden/>
              </w:rPr>
            </w:r>
            <w:r>
              <w:rPr>
                <w:noProof/>
                <w:webHidden/>
              </w:rPr>
              <w:fldChar w:fldCharType="separate"/>
            </w:r>
            <w:r>
              <w:rPr>
                <w:noProof/>
                <w:webHidden/>
              </w:rPr>
              <w:t>5</w:t>
            </w:r>
            <w:r>
              <w:rPr>
                <w:noProof/>
                <w:webHidden/>
              </w:rPr>
              <w:fldChar w:fldCharType="end"/>
            </w:r>
          </w:hyperlink>
        </w:p>
        <w:p w14:paraId="5F6A8389" w14:textId="06AC494E" w:rsidR="00E37FD1" w:rsidRDefault="00E37FD1">
          <w:pPr>
            <w:pStyle w:val="TOC3"/>
            <w:tabs>
              <w:tab w:val="right" w:leader="dot" w:pos="8494"/>
            </w:tabs>
            <w:rPr>
              <w:rFonts w:eastAsiaTheme="minorEastAsia"/>
              <w:noProof/>
              <w:lang w:eastAsia="es-ES"/>
            </w:rPr>
          </w:pPr>
          <w:hyperlink w:anchor="_Toc191888373" w:history="1">
            <w:r w:rsidRPr="00777CF1">
              <w:rPr>
                <w:rStyle w:val="Hyperlink"/>
                <w:noProof/>
                <w:lang w:val="en-US"/>
              </w:rPr>
              <w:t>3.3. Combination of Factors and Modifiers for Probability Calculation</w:t>
            </w:r>
            <w:r>
              <w:rPr>
                <w:noProof/>
                <w:webHidden/>
              </w:rPr>
              <w:tab/>
            </w:r>
            <w:r>
              <w:rPr>
                <w:noProof/>
                <w:webHidden/>
              </w:rPr>
              <w:fldChar w:fldCharType="begin"/>
            </w:r>
            <w:r>
              <w:rPr>
                <w:noProof/>
                <w:webHidden/>
              </w:rPr>
              <w:instrText xml:space="preserve"> PAGEREF _Toc191888373 \h </w:instrText>
            </w:r>
            <w:r>
              <w:rPr>
                <w:noProof/>
                <w:webHidden/>
              </w:rPr>
            </w:r>
            <w:r>
              <w:rPr>
                <w:noProof/>
                <w:webHidden/>
              </w:rPr>
              <w:fldChar w:fldCharType="separate"/>
            </w:r>
            <w:r>
              <w:rPr>
                <w:noProof/>
                <w:webHidden/>
              </w:rPr>
              <w:t>6</w:t>
            </w:r>
            <w:r>
              <w:rPr>
                <w:noProof/>
                <w:webHidden/>
              </w:rPr>
              <w:fldChar w:fldCharType="end"/>
            </w:r>
          </w:hyperlink>
        </w:p>
        <w:p w14:paraId="14451AB4" w14:textId="22AF2A7D" w:rsidR="00E37FD1" w:rsidRDefault="00E37FD1">
          <w:pPr>
            <w:pStyle w:val="TOC3"/>
            <w:tabs>
              <w:tab w:val="right" w:leader="dot" w:pos="8494"/>
            </w:tabs>
            <w:rPr>
              <w:rFonts w:eastAsiaTheme="minorEastAsia"/>
              <w:noProof/>
              <w:lang w:eastAsia="es-ES"/>
            </w:rPr>
          </w:pPr>
          <w:hyperlink w:anchor="_Toc191888374" w:history="1">
            <w:r w:rsidRPr="00777CF1">
              <w:rPr>
                <w:rStyle w:val="Hyperlink"/>
                <w:noProof/>
                <w:lang w:val="en-US"/>
              </w:rPr>
              <w:t>3.6. Integration with LLM and Document Database</w:t>
            </w:r>
            <w:r>
              <w:rPr>
                <w:noProof/>
                <w:webHidden/>
              </w:rPr>
              <w:tab/>
            </w:r>
            <w:r>
              <w:rPr>
                <w:noProof/>
                <w:webHidden/>
              </w:rPr>
              <w:fldChar w:fldCharType="begin"/>
            </w:r>
            <w:r>
              <w:rPr>
                <w:noProof/>
                <w:webHidden/>
              </w:rPr>
              <w:instrText xml:space="preserve"> PAGEREF _Toc191888374 \h </w:instrText>
            </w:r>
            <w:r>
              <w:rPr>
                <w:noProof/>
                <w:webHidden/>
              </w:rPr>
            </w:r>
            <w:r>
              <w:rPr>
                <w:noProof/>
                <w:webHidden/>
              </w:rPr>
              <w:fldChar w:fldCharType="separate"/>
            </w:r>
            <w:r>
              <w:rPr>
                <w:noProof/>
                <w:webHidden/>
              </w:rPr>
              <w:t>7</w:t>
            </w:r>
            <w:r>
              <w:rPr>
                <w:noProof/>
                <w:webHidden/>
              </w:rPr>
              <w:fldChar w:fldCharType="end"/>
            </w:r>
          </w:hyperlink>
        </w:p>
        <w:p w14:paraId="3A1E2F80" w14:textId="557E348E" w:rsidR="00E37FD1" w:rsidRDefault="00E37FD1">
          <w:pPr>
            <w:pStyle w:val="TOC3"/>
            <w:tabs>
              <w:tab w:val="right" w:leader="dot" w:pos="8494"/>
            </w:tabs>
            <w:rPr>
              <w:rFonts w:eastAsiaTheme="minorEastAsia"/>
              <w:noProof/>
              <w:lang w:eastAsia="es-ES"/>
            </w:rPr>
          </w:pPr>
          <w:hyperlink w:anchor="_Toc191888375" w:history="1">
            <w:r w:rsidRPr="00777CF1">
              <w:rPr>
                <w:rStyle w:val="Hyperlink"/>
                <w:noProof/>
                <w:lang w:val="en-US"/>
              </w:rPr>
              <w:t>3.6. Response</w:t>
            </w:r>
            <w:r>
              <w:rPr>
                <w:noProof/>
                <w:webHidden/>
              </w:rPr>
              <w:tab/>
            </w:r>
            <w:r>
              <w:rPr>
                <w:noProof/>
                <w:webHidden/>
              </w:rPr>
              <w:fldChar w:fldCharType="begin"/>
            </w:r>
            <w:r>
              <w:rPr>
                <w:noProof/>
                <w:webHidden/>
              </w:rPr>
              <w:instrText xml:space="preserve"> PAGEREF _Toc191888375 \h </w:instrText>
            </w:r>
            <w:r>
              <w:rPr>
                <w:noProof/>
                <w:webHidden/>
              </w:rPr>
            </w:r>
            <w:r>
              <w:rPr>
                <w:noProof/>
                <w:webHidden/>
              </w:rPr>
              <w:fldChar w:fldCharType="separate"/>
            </w:r>
            <w:r>
              <w:rPr>
                <w:noProof/>
                <w:webHidden/>
              </w:rPr>
              <w:t>7</w:t>
            </w:r>
            <w:r>
              <w:rPr>
                <w:noProof/>
                <w:webHidden/>
              </w:rPr>
              <w:fldChar w:fldCharType="end"/>
            </w:r>
          </w:hyperlink>
        </w:p>
        <w:p w14:paraId="33111F9C" w14:textId="0F34BB9C" w:rsidR="00E37FD1" w:rsidRDefault="00E37FD1">
          <w:pPr>
            <w:pStyle w:val="TOC3"/>
            <w:tabs>
              <w:tab w:val="right" w:leader="dot" w:pos="8494"/>
            </w:tabs>
            <w:rPr>
              <w:rFonts w:eastAsiaTheme="minorEastAsia"/>
              <w:noProof/>
              <w:lang w:eastAsia="es-ES"/>
            </w:rPr>
          </w:pPr>
          <w:hyperlink w:anchor="_Toc191888376" w:history="1">
            <w:r w:rsidRPr="00777CF1">
              <w:rPr>
                <w:rStyle w:val="Hyperlink"/>
                <w:noProof/>
              </w:rPr>
              <w:t>3.7. Output</w:t>
            </w:r>
            <w:r>
              <w:rPr>
                <w:noProof/>
                <w:webHidden/>
              </w:rPr>
              <w:tab/>
            </w:r>
            <w:r>
              <w:rPr>
                <w:noProof/>
                <w:webHidden/>
              </w:rPr>
              <w:fldChar w:fldCharType="begin"/>
            </w:r>
            <w:r>
              <w:rPr>
                <w:noProof/>
                <w:webHidden/>
              </w:rPr>
              <w:instrText xml:space="preserve"> PAGEREF _Toc191888376 \h </w:instrText>
            </w:r>
            <w:r>
              <w:rPr>
                <w:noProof/>
                <w:webHidden/>
              </w:rPr>
            </w:r>
            <w:r>
              <w:rPr>
                <w:noProof/>
                <w:webHidden/>
              </w:rPr>
              <w:fldChar w:fldCharType="separate"/>
            </w:r>
            <w:r>
              <w:rPr>
                <w:noProof/>
                <w:webHidden/>
              </w:rPr>
              <w:t>8</w:t>
            </w:r>
            <w:r>
              <w:rPr>
                <w:noProof/>
                <w:webHidden/>
              </w:rPr>
              <w:fldChar w:fldCharType="end"/>
            </w:r>
          </w:hyperlink>
        </w:p>
        <w:p w14:paraId="32F682E8" w14:textId="74A6A65C" w:rsidR="00E37FD1" w:rsidRDefault="00E37FD1">
          <w:pPr>
            <w:pStyle w:val="TOC1"/>
            <w:tabs>
              <w:tab w:val="right" w:leader="dot" w:pos="8494"/>
            </w:tabs>
            <w:rPr>
              <w:rFonts w:eastAsiaTheme="minorEastAsia"/>
              <w:noProof/>
              <w:lang w:eastAsia="es-ES"/>
            </w:rPr>
          </w:pPr>
          <w:hyperlink w:anchor="_Toc191888377" w:history="1">
            <w:r w:rsidRPr="00777CF1">
              <w:rPr>
                <w:rStyle w:val="Hyperlink"/>
                <w:noProof/>
                <w:lang w:val="en-US"/>
              </w:rPr>
              <w:t>4. Assumptions and Configurable Parameters</w:t>
            </w:r>
            <w:r>
              <w:rPr>
                <w:noProof/>
                <w:webHidden/>
              </w:rPr>
              <w:tab/>
            </w:r>
            <w:r>
              <w:rPr>
                <w:noProof/>
                <w:webHidden/>
              </w:rPr>
              <w:fldChar w:fldCharType="begin"/>
            </w:r>
            <w:r>
              <w:rPr>
                <w:noProof/>
                <w:webHidden/>
              </w:rPr>
              <w:instrText xml:space="preserve"> PAGEREF _Toc191888377 \h </w:instrText>
            </w:r>
            <w:r>
              <w:rPr>
                <w:noProof/>
                <w:webHidden/>
              </w:rPr>
            </w:r>
            <w:r>
              <w:rPr>
                <w:noProof/>
                <w:webHidden/>
              </w:rPr>
              <w:fldChar w:fldCharType="separate"/>
            </w:r>
            <w:r>
              <w:rPr>
                <w:noProof/>
                <w:webHidden/>
              </w:rPr>
              <w:t>8</w:t>
            </w:r>
            <w:r>
              <w:rPr>
                <w:noProof/>
                <w:webHidden/>
              </w:rPr>
              <w:fldChar w:fldCharType="end"/>
            </w:r>
          </w:hyperlink>
        </w:p>
        <w:p w14:paraId="3608D2F3" w14:textId="69F78176" w:rsidR="00E37FD1" w:rsidRDefault="00E37FD1">
          <w:pPr>
            <w:pStyle w:val="TOC3"/>
            <w:tabs>
              <w:tab w:val="right" w:leader="dot" w:pos="8494"/>
            </w:tabs>
            <w:rPr>
              <w:rFonts w:eastAsiaTheme="minorEastAsia"/>
              <w:noProof/>
              <w:lang w:eastAsia="es-ES"/>
            </w:rPr>
          </w:pPr>
          <w:hyperlink w:anchor="_Toc191888378" w:history="1">
            <w:r w:rsidRPr="00777CF1">
              <w:rPr>
                <w:rStyle w:val="Hyperlink"/>
                <w:noProof/>
                <w:lang w:val="en-US"/>
              </w:rPr>
              <w:t>4.1. Thresholds and Weights</w:t>
            </w:r>
            <w:r>
              <w:rPr>
                <w:noProof/>
                <w:webHidden/>
              </w:rPr>
              <w:tab/>
            </w:r>
            <w:r>
              <w:rPr>
                <w:noProof/>
                <w:webHidden/>
              </w:rPr>
              <w:fldChar w:fldCharType="begin"/>
            </w:r>
            <w:r>
              <w:rPr>
                <w:noProof/>
                <w:webHidden/>
              </w:rPr>
              <w:instrText xml:space="preserve"> PAGEREF _Toc191888378 \h </w:instrText>
            </w:r>
            <w:r>
              <w:rPr>
                <w:noProof/>
                <w:webHidden/>
              </w:rPr>
            </w:r>
            <w:r>
              <w:rPr>
                <w:noProof/>
                <w:webHidden/>
              </w:rPr>
              <w:fldChar w:fldCharType="separate"/>
            </w:r>
            <w:r>
              <w:rPr>
                <w:noProof/>
                <w:webHidden/>
              </w:rPr>
              <w:t>8</w:t>
            </w:r>
            <w:r>
              <w:rPr>
                <w:noProof/>
                <w:webHidden/>
              </w:rPr>
              <w:fldChar w:fldCharType="end"/>
            </w:r>
          </w:hyperlink>
        </w:p>
        <w:p w14:paraId="0B9197DC" w14:textId="5D5A3526" w:rsidR="00E37FD1" w:rsidRDefault="00E37FD1">
          <w:pPr>
            <w:pStyle w:val="TOC3"/>
            <w:tabs>
              <w:tab w:val="right" w:leader="dot" w:pos="8494"/>
            </w:tabs>
            <w:rPr>
              <w:rFonts w:eastAsiaTheme="minorEastAsia"/>
              <w:noProof/>
              <w:lang w:eastAsia="es-ES"/>
            </w:rPr>
          </w:pPr>
          <w:hyperlink w:anchor="_Toc191888379" w:history="1">
            <w:r w:rsidRPr="00777CF1">
              <w:rPr>
                <w:rStyle w:val="Hyperlink"/>
                <w:noProof/>
                <w:lang w:val="en-US"/>
              </w:rPr>
              <w:t>4.2. Operational Assumptions</w:t>
            </w:r>
            <w:r>
              <w:rPr>
                <w:noProof/>
                <w:webHidden/>
              </w:rPr>
              <w:tab/>
            </w:r>
            <w:r>
              <w:rPr>
                <w:noProof/>
                <w:webHidden/>
              </w:rPr>
              <w:fldChar w:fldCharType="begin"/>
            </w:r>
            <w:r>
              <w:rPr>
                <w:noProof/>
                <w:webHidden/>
              </w:rPr>
              <w:instrText xml:space="preserve"> PAGEREF _Toc191888379 \h </w:instrText>
            </w:r>
            <w:r>
              <w:rPr>
                <w:noProof/>
                <w:webHidden/>
              </w:rPr>
            </w:r>
            <w:r>
              <w:rPr>
                <w:noProof/>
                <w:webHidden/>
              </w:rPr>
              <w:fldChar w:fldCharType="separate"/>
            </w:r>
            <w:r>
              <w:rPr>
                <w:noProof/>
                <w:webHidden/>
              </w:rPr>
              <w:t>9</w:t>
            </w:r>
            <w:r>
              <w:rPr>
                <w:noProof/>
                <w:webHidden/>
              </w:rPr>
              <w:fldChar w:fldCharType="end"/>
            </w:r>
          </w:hyperlink>
        </w:p>
        <w:p w14:paraId="122A2496" w14:textId="6B7B95C1" w:rsidR="008B0C13" w:rsidRDefault="008B0C13">
          <w:r>
            <w:rPr>
              <w:b/>
              <w:bCs/>
              <w:noProof/>
            </w:rPr>
            <w:fldChar w:fldCharType="end"/>
          </w:r>
        </w:p>
      </w:sdtContent>
    </w:sdt>
    <w:p w14:paraId="253E4E7B" w14:textId="77777777" w:rsidR="006B734B" w:rsidRDefault="006B734B" w:rsidP="006B734B">
      <w:pPr>
        <w:pStyle w:val="Heading1"/>
      </w:pPr>
    </w:p>
    <w:p w14:paraId="1D901FC1" w14:textId="77777777" w:rsidR="006B734B" w:rsidRDefault="006B734B" w:rsidP="006B734B"/>
    <w:p w14:paraId="69261BA4" w14:textId="77777777" w:rsidR="006B734B" w:rsidRDefault="006B734B" w:rsidP="006B734B"/>
    <w:p w14:paraId="61956728" w14:textId="77777777" w:rsidR="006B734B" w:rsidRDefault="006B734B" w:rsidP="006B734B"/>
    <w:p w14:paraId="1DDF43F3" w14:textId="77777777" w:rsidR="006B734B" w:rsidRDefault="006B734B" w:rsidP="006B734B"/>
    <w:p w14:paraId="684FFBB7" w14:textId="77777777" w:rsidR="006B734B" w:rsidRDefault="006B734B" w:rsidP="006B734B"/>
    <w:p w14:paraId="0905987E" w14:textId="77777777" w:rsidR="006B734B" w:rsidRDefault="006B734B" w:rsidP="006B734B"/>
    <w:p w14:paraId="76251DD4" w14:textId="77777777" w:rsidR="006B734B" w:rsidRDefault="006B734B" w:rsidP="006B734B"/>
    <w:p w14:paraId="7497FA8A" w14:textId="77777777" w:rsidR="006B734B" w:rsidRDefault="006B734B" w:rsidP="006B734B"/>
    <w:p w14:paraId="090357DD" w14:textId="77777777" w:rsidR="006B734B" w:rsidRPr="006B734B" w:rsidRDefault="006B734B" w:rsidP="006B734B"/>
    <w:p w14:paraId="6A367742" w14:textId="508CCE3F" w:rsidR="00316D0A" w:rsidRPr="009047A1" w:rsidRDefault="00316D0A" w:rsidP="006B734B">
      <w:pPr>
        <w:pStyle w:val="Heading1"/>
        <w:rPr>
          <w:lang w:val="en-US"/>
        </w:rPr>
      </w:pPr>
      <w:bookmarkStart w:id="0" w:name="_Toc191888368"/>
      <w:r w:rsidRPr="009047A1">
        <w:rPr>
          <w:lang w:val="en-US"/>
        </w:rPr>
        <w:lastRenderedPageBreak/>
        <w:t>1. Introduc</w:t>
      </w:r>
      <w:r w:rsidR="00B75230" w:rsidRPr="009047A1">
        <w:rPr>
          <w:lang w:val="en-US"/>
        </w:rPr>
        <w:t>tio</w:t>
      </w:r>
      <w:r w:rsidRPr="009047A1">
        <w:rPr>
          <w:lang w:val="en-US"/>
        </w:rPr>
        <w:t>n</w:t>
      </w:r>
      <w:bookmarkEnd w:id="0"/>
    </w:p>
    <w:p w14:paraId="10B40738" w14:textId="77777777" w:rsidR="00B75230" w:rsidRPr="00B75230" w:rsidRDefault="00B75230" w:rsidP="00B75230">
      <w:pPr>
        <w:rPr>
          <w:rFonts w:ascii="Calibri" w:hAnsi="Calibri" w:cs="Calibri"/>
          <w:lang w:val="en-US"/>
        </w:rPr>
      </w:pPr>
      <w:r w:rsidRPr="00B75230">
        <w:rPr>
          <w:rFonts w:ascii="Calibri" w:hAnsi="Calibri" w:cs="Calibri"/>
          <w:lang w:val="en-US"/>
        </w:rPr>
        <w:t>In the context of risk management and operational continuity of infrastructures, this project aims to assess the likelihood of flooding for Iberdrola’s Transformation Centers (TCs). TCs are essential facilities that, when affected by extreme weather events such as floods, can disrupt power supply and cause operational disturbances.</w:t>
      </w:r>
    </w:p>
    <w:p w14:paraId="65859BA0" w14:textId="77777777" w:rsidR="00B75230" w:rsidRPr="00B75230" w:rsidRDefault="00B75230" w:rsidP="00B75230">
      <w:pPr>
        <w:rPr>
          <w:rFonts w:ascii="Calibri" w:hAnsi="Calibri" w:cs="Calibri"/>
          <w:lang w:val="en-US"/>
        </w:rPr>
      </w:pPr>
      <w:r w:rsidRPr="00B75230">
        <w:rPr>
          <w:rFonts w:ascii="Calibri" w:hAnsi="Calibri" w:cs="Calibri"/>
          <w:lang w:val="en-US"/>
        </w:rPr>
        <w:t>To carry out this assessment, multiple data sources are integrated:</w:t>
      </w:r>
    </w:p>
    <w:p w14:paraId="51B03060" w14:textId="635FFAF6" w:rsidR="00B75230" w:rsidRPr="00B75230" w:rsidRDefault="00B75230" w:rsidP="00B75230">
      <w:pPr>
        <w:numPr>
          <w:ilvl w:val="0"/>
          <w:numId w:val="26"/>
        </w:numPr>
        <w:rPr>
          <w:rFonts w:ascii="Calibri" w:hAnsi="Calibri" w:cs="Calibri"/>
          <w:lang w:val="en-US"/>
        </w:rPr>
      </w:pPr>
      <w:r w:rsidRPr="00B75230">
        <w:rPr>
          <w:rFonts w:ascii="Calibri" w:hAnsi="Calibri" w:cs="Calibri"/>
          <w:b/>
          <w:bCs/>
          <w:lang w:val="en-US"/>
        </w:rPr>
        <w:t>TC Data:</w:t>
      </w:r>
      <w:r w:rsidRPr="00B75230">
        <w:rPr>
          <w:rFonts w:ascii="Calibri" w:hAnsi="Calibri" w:cs="Calibri"/>
          <w:lang w:val="en-US"/>
        </w:rPr>
        <w:t xml:space="preserve"> </w:t>
      </w:r>
      <w:r w:rsidR="009047A1" w:rsidRPr="009047A1">
        <w:rPr>
          <w:rFonts w:ascii="Calibri" w:hAnsi="Calibri" w:cs="Calibri"/>
          <w:lang w:val="en-US"/>
        </w:rPr>
        <w:t>Geographic information (latitude and longitude) and structural characteristics indicating whether the facility is underground and if it is considered flood-prone based on direct observation by the company's technicians.</w:t>
      </w:r>
    </w:p>
    <w:p w14:paraId="6F3CB840" w14:textId="3575B7F6" w:rsidR="00B75230" w:rsidRPr="0011270C" w:rsidRDefault="009047A1" w:rsidP="00B75230">
      <w:pPr>
        <w:numPr>
          <w:ilvl w:val="0"/>
          <w:numId w:val="26"/>
        </w:numPr>
        <w:rPr>
          <w:rFonts w:ascii="Calibri" w:hAnsi="Calibri" w:cs="Calibri"/>
          <w:lang w:val="en-US"/>
        </w:rPr>
      </w:pPr>
      <w:r w:rsidRPr="0011270C">
        <w:rPr>
          <w:rFonts w:ascii="Calibri" w:hAnsi="Calibri" w:cs="Calibri"/>
          <w:b/>
          <w:bCs/>
          <w:lang w:val="en-US"/>
        </w:rPr>
        <w:t>Weather forecast (</w:t>
      </w:r>
      <w:r w:rsidR="00653CA9" w:rsidRPr="0011270C">
        <w:rPr>
          <w:rFonts w:ascii="Calibri" w:hAnsi="Calibri" w:cs="Calibri"/>
          <w:b/>
          <w:bCs/>
          <w:lang w:val="en-US"/>
        </w:rPr>
        <w:t>German Weather Service DWD</w:t>
      </w:r>
      <w:r w:rsidRPr="0011270C">
        <w:rPr>
          <w:rFonts w:ascii="Calibri" w:hAnsi="Calibri" w:cs="Calibri"/>
          <w:b/>
          <w:bCs/>
          <w:lang w:val="en-US"/>
        </w:rPr>
        <w:t>, using the Icon prediction model)</w:t>
      </w:r>
      <w:r w:rsidR="00B75230" w:rsidRPr="0011270C">
        <w:rPr>
          <w:rFonts w:ascii="Calibri" w:hAnsi="Calibri" w:cs="Calibri"/>
          <w:b/>
          <w:bCs/>
          <w:lang w:val="en-US"/>
        </w:rPr>
        <w:t>:</w:t>
      </w:r>
      <w:r w:rsidR="00B75230" w:rsidRPr="0011270C">
        <w:rPr>
          <w:rFonts w:ascii="Calibri" w:hAnsi="Calibri" w:cs="Calibri"/>
          <w:lang w:val="en-US"/>
        </w:rPr>
        <w:t xml:space="preserve"> </w:t>
      </w:r>
      <w:r w:rsidR="0011270C" w:rsidRPr="0011270C">
        <w:rPr>
          <w:rFonts w:ascii="Calibri" w:hAnsi="Calibri" w:cs="Calibri"/>
          <w:lang w:val="en-US"/>
        </w:rPr>
        <w:t>Precipitation data expressed in millimeters (liters/hour per square meter), provided in hourly intervals. Rainfall forecasts are available for any municipality up to six days in advance.</w:t>
      </w:r>
    </w:p>
    <w:p w14:paraId="0775663D" w14:textId="6FFC80C7" w:rsidR="00B75230" w:rsidRPr="00B75230" w:rsidRDefault="00B75230" w:rsidP="00B75230">
      <w:pPr>
        <w:numPr>
          <w:ilvl w:val="0"/>
          <w:numId w:val="26"/>
        </w:numPr>
        <w:rPr>
          <w:rFonts w:ascii="Calibri" w:hAnsi="Calibri" w:cs="Calibri"/>
          <w:lang w:val="en-US"/>
        </w:rPr>
      </w:pPr>
      <w:r w:rsidRPr="00B75230">
        <w:rPr>
          <w:rFonts w:ascii="Calibri" w:hAnsi="Calibri" w:cs="Calibri"/>
          <w:b/>
          <w:bCs/>
          <w:lang w:val="en-US"/>
        </w:rPr>
        <w:t>Historical Rainfall Accumulation:</w:t>
      </w:r>
      <w:r w:rsidRPr="00B75230">
        <w:rPr>
          <w:rFonts w:ascii="Calibri" w:hAnsi="Calibri" w:cs="Calibri"/>
          <w:lang w:val="en-US"/>
        </w:rPr>
        <w:t xml:space="preserve"> For any future day, predictions are available for the sum of accumulated precipitation in</w:t>
      </w:r>
      <w:r w:rsidR="009047A1">
        <w:rPr>
          <w:rFonts w:ascii="Calibri" w:hAnsi="Calibri" w:cs="Calibri"/>
          <w:lang w:val="en-US"/>
        </w:rPr>
        <w:t xml:space="preserve"> 12-,</w:t>
      </w:r>
      <w:r w:rsidRPr="00B75230">
        <w:rPr>
          <w:rFonts w:ascii="Calibri" w:hAnsi="Calibri" w:cs="Calibri"/>
          <w:lang w:val="en-US"/>
        </w:rPr>
        <w:t xml:space="preserve"> 24- and 48-hour periods.</w:t>
      </w:r>
    </w:p>
    <w:p w14:paraId="3DDFF6B8" w14:textId="77777777" w:rsidR="00B75230" w:rsidRDefault="00B75230" w:rsidP="00B75230">
      <w:pPr>
        <w:numPr>
          <w:ilvl w:val="0"/>
          <w:numId w:val="26"/>
        </w:numPr>
        <w:rPr>
          <w:rFonts w:ascii="Calibri" w:hAnsi="Calibri" w:cs="Calibri"/>
          <w:lang w:val="en-US"/>
        </w:rPr>
      </w:pPr>
      <w:r w:rsidRPr="00B75230">
        <w:rPr>
          <w:rFonts w:ascii="Calibri" w:hAnsi="Calibri" w:cs="Calibri"/>
          <w:b/>
          <w:bCs/>
          <w:lang w:val="en-US"/>
        </w:rPr>
        <w:t>Cartographic Information from CNIG (National Center for Geographic Information) of flood maps:</w:t>
      </w:r>
      <w:r w:rsidRPr="00B75230">
        <w:rPr>
          <w:rFonts w:ascii="Calibri" w:hAnsi="Calibri" w:cs="Calibri"/>
          <w:lang w:val="en-US"/>
        </w:rPr>
        <w:t xml:space="preserve"> Indicates whether a location is in a flood-prone area and, if so, the altitude that the water would reach during a flooding event.</w:t>
      </w:r>
    </w:p>
    <w:p w14:paraId="25EC3B1E" w14:textId="54645407" w:rsidR="00FD6CF0" w:rsidRPr="00FD6CF0" w:rsidRDefault="00FD6CF0" w:rsidP="00FD6CF0">
      <w:pPr>
        <w:numPr>
          <w:ilvl w:val="0"/>
          <w:numId w:val="26"/>
        </w:numPr>
        <w:rPr>
          <w:rFonts w:ascii="Calibri" w:hAnsi="Calibri" w:cs="Calibri"/>
          <w:lang w:val="en-US"/>
        </w:rPr>
      </w:pPr>
      <w:r w:rsidRPr="00FD6CF0">
        <w:rPr>
          <w:rFonts w:ascii="Calibri" w:hAnsi="Calibri" w:cs="Calibri"/>
          <w:b/>
          <w:bCs/>
          <w:lang w:val="en-US"/>
        </w:rPr>
        <w:t>Copernicus Flood Alert System:</w:t>
      </w:r>
      <w:r w:rsidRPr="00FD6CF0">
        <w:rPr>
          <w:rFonts w:ascii="Calibri" w:hAnsi="Calibri" w:cs="Calibri"/>
          <w:lang w:val="en-US"/>
        </w:rPr>
        <w:t xml:space="preserve"> Indicates the probability of river flooding based on satellite data</w:t>
      </w:r>
      <w:r>
        <w:rPr>
          <w:rFonts w:ascii="Calibri" w:hAnsi="Calibri" w:cs="Calibri"/>
          <w:lang w:val="en-US"/>
        </w:rPr>
        <w:t>.</w:t>
      </w:r>
    </w:p>
    <w:p w14:paraId="35C63863" w14:textId="6649EC15" w:rsidR="00FD6CF0" w:rsidRPr="00FD6CF0" w:rsidRDefault="00FD6CF0" w:rsidP="00FD6CF0">
      <w:pPr>
        <w:numPr>
          <w:ilvl w:val="0"/>
          <w:numId w:val="26"/>
        </w:numPr>
        <w:rPr>
          <w:rFonts w:ascii="Calibri" w:hAnsi="Calibri" w:cs="Calibri"/>
          <w:lang w:val="en-US"/>
        </w:rPr>
      </w:pPr>
      <w:r w:rsidRPr="00FD6CF0">
        <w:rPr>
          <w:rFonts w:ascii="Calibri" w:hAnsi="Calibri" w:cs="Calibri"/>
          <w:b/>
          <w:bCs/>
          <w:lang w:val="en-US"/>
        </w:rPr>
        <w:t>AEMET Alert System:</w:t>
      </w:r>
      <w:r w:rsidRPr="00FD6CF0">
        <w:rPr>
          <w:rFonts w:ascii="Calibri" w:hAnsi="Calibri" w:cs="Calibri"/>
          <w:lang w:val="en-US"/>
        </w:rPr>
        <w:t xml:space="preserve"> Indicates risk levels (yellow, orange, and red) based on forecasts of heavy rainfall or storms for a specific area</w:t>
      </w:r>
      <w:r>
        <w:rPr>
          <w:rFonts w:ascii="Calibri" w:hAnsi="Calibri" w:cs="Calibri"/>
          <w:lang w:val="en-US"/>
        </w:rPr>
        <w:t>.</w:t>
      </w:r>
    </w:p>
    <w:p w14:paraId="108DFFDE" w14:textId="106DF4ED" w:rsidR="00FD6CF0" w:rsidRPr="00B75230" w:rsidRDefault="00FD6CF0" w:rsidP="00FD6CF0">
      <w:pPr>
        <w:numPr>
          <w:ilvl w:val="0"/>
          <w:numId w:val="26"/>
        </w:numPr>
        <w:rPr>
          <w:rFonts w:ascii="Calibri" w:hAnsi="Calibri" w:cs="Calibri"/>
          <w:lang w:val="en-US"/>
        </w:rPr>
      </w:pPr>
      <w:r w:rsidRPr="00FD6CF0">
        <w:rPr>
          <w:rFonts w:ascii="Calibri" w:hAnsi="Calibri" w:cs="Calibri"/>
          <w:b/>
          <w:bCs/>
          <w:lang w:val="en-US"/>
        </w:rPr>
        <w:t xml:space="preserve">Manual Flood Risk Information for a Transformer Center (TC): </w:t>
      </w:r>
      <w:r w:rsidRPr="00FD6CF0">
        <w:rPr>
          <w:rFonts w:ascii="Calibri" w:hAnsi="Calibri" w:cs="Calibri"/>
          <w:lang w:val="en-US"/>
        </w:rPr>
        <w:t>Information provided by the company for those TCs with an extraordinary flood risk due to their specific characteristics.</w:t>
      </w:r>
    </w:p>
    <w:p w14:paraId="5408D266" w14:textId="77777777" w:rsidR="00B75230" w:rsidRPr="00B75230" w:rsidRDefault="00B75230" w:rsidP="00B75230">
      <w:pPr>
        <w:rPr>
          <w:rFonts w:ascii="Calibri" w:hAnsi="Calibri" w:cs="Calibri"/>
          <w:lang w:val="en-US"/>
        </w:rPr>
      </w:pPr>
      <w:r w:rsidRPr="00B75230">
        <w:rPr>
          <w:rFonts w:ascii="Calibri" w:hAnsi="Calibri" w:cs="Calibri"/>
          <w:lang w:val="en-US"/>
        </w:rPr>
        <w:t>These data are used to calculate a flood risk index for each TC at any given time, allowing for the prioritization of mitigation measures and early warning of potential critical events.</w:t>
      </w:r>
    </w:p>
    <w:p w14:paraId="717C7FEC" w14:textId="77777777" w:rsidR="00B75230" w:rsidRPr="00B75230" w:rsidRDefault="00B75230" w:rsidP="00B75230">
      <w:pPr>
        <w:rPr>
          <w:rFonts w:ascii="Calibri" w:hAnsi="Calibri" w:cs="Calibri"/>
          <w:lang w:val="en-US"/>
        </w:rPr>
      </w:pPr>
      <w:r w:rsidRPr="00B75230">
        <w:rPr>
          <w:rFonts w:ascii="Calibri" w:hAnsi="Calibri" w:cs="Calibri"/>
          <w:lang w:val="en-US"/>
        </w:rPr>
        <w:t>In the future, integration with the Civil Protection alert system for climate emergency notifications is planned, as well as collaboration with Hydrographic Confederations (CH), which manage the safety of dams. However, as of today, this information is not yet available for consultation through an application.</w:t>
      </w:r>
    </w:p>
    <w:p w14:paraId="553C4C54" w14:textId="77777777" w:rsidR="00316D0A" w:rsidRPr="00316D0A" w:rsidRDefault="00000000" w:rsidP="00316D0A">
      <w:pPr>
        <w:rPr>
          <w:rFonts w:ascii="Calibri" w:hAnsi="Calibri" w:cs="Calibri"/>
        </w:rPr>
      </w:pPr>
      <w:r>
        <w:rPr>
          <w:rFonts w:ascii="Calibri" w:hAnsi="Calibri" w:cs="Calibri"/>
        </w:rPr>
        <w:pict w14:anchorId="6EB72D18">
          <v:rect id="_x0000_i1025" style="width:0;height:1.5pt" o:hralign="center" o:hrstd="t" o:hr="t" fillcolor="#a0a0a0" stroked="f"/>
        </w:pict>
      </w:r>
    </w:p>
    <w:p w14:paraId="05490384" w14:textId="4CE28705" w:rsidR="00316D0A" w:rsidRPr="009047A1" w:rsidRDefault="00316D0A" w:rsidP="006B734B">
      <w:pPr>
        <w:pStyle w:val="Heading1"/>
        <w:rPr>
          <w:lang w:val="en-US"/>
        </w:rPr>
      </w:pPr>
      <w:bookmarkStart w:id="1" w:name="_Toc191888369"/>
      <w:r w:rsidRPr="009047A1">
        <w:rPr>
          <w:lang w:val="en-US"/>
        </w:rPr>
        <w:lastRenderedPageBreak/>
        <w:t xml:space="preserve">2. </w:t>
      </w:r>
      <w:r w:rsidR="008B0C13" w:rsidRPr="009047A1">
        <w:rPr>
          <w:lang w:val="en-US"/>
        </w:rPr>
        <w:t>General Project Objective</w:t>
      </w:r>
      <w:bookmarkEnd w:id="1"/>
    </w:p>
    <w:p w14:paraId="04DEAF61" w14:textId="1F9CFFD6" w:rsidR="00B75230" w:rsidRPr="00B75230" w:rsidRDefault="00B75230" w:rsidP="00B75230">
      <w:pPr>
        <w:rPr>
          <w:rFonts w:ascii="Calibri" w:hAnsi="Calibri" w:cs="Calibri"/>
          <w:lang w:val="en-US"/>
        </w:rPr>
      </w:pPr>
      <w:r w:rsidRPr="00B75230">
        <w:rPr>
          <w:rFonts w:ascii="Calibri" w:hAnsi="Calibri" w:cs="Calibri"/>
          <w:lang w:val="en-US"/>
        </w:rPr>
        <w:t xml:space="preserve">The main objective is to develop an application that, using rainfall forecast data, historical precipitation accumulation, and flood zone data, automatically calculates the </w:t>
      </w:r>
      <w:proofErr w:type="gramStart"/>
      <w:r w:rsidRPr="00B75230">
        <w:rPr>
          <w:rFonts w:ascii="Calibri" w:hAnsi="Calibri" w:cs="Calibri"/>
          <w:lang w:val="en-US"/>
        </w:rPr>
        <w:t>flood risk probability</w:t>
      </w:r>
      <w:proofErr w:type="gramEnd"/>
      <w:r w:rsidRPr="00B75230">
        <w:rPr>
          <w:rFonts w:ascii="Calibri" w:hAnsi="Calibri" w:cs="Calibri"/>
          <w:lang w:val="en-US"/>
        </w:rPr>
        <w:t xml:space="preserve"> for a Transformation Center (TC) over the next </w:t>
      </w:r>
      <w:r w:rsidR="008B743C">
        <w:rPr>
          <w:rFonts w:ascii="Calibri" w:hAnsi="Calibri" w:cs="Calibri"/>
          <w:lang w:val="en-US"/>
        </w:rPr>
        <w:t>four</w:t>
      </w:r>
      <w:r w:rsidRPr="00B75230">
        <w:rPr>
          <w:rFonts w:ascii="Calibri" w:hAnsi="Calibri" w:cs="Calibri"/>
          <w:lang w:val="en-US"/>
        </w:rPr>
        <w:t xml:space="preserve"> days. This probability will be obtained through the weighted combination of the various factors mentioned above and will allow for:</w:t>
      </w:r>
    </w:p>
    <w:p w14:paraId="6DFADB1A" w14:textId="77777777" w:rsidR="00B75230" w:rsidRPr="00B75230" w:rsidRDefault="00B75230" w:rsidP="00B75230">
      <w:pPr>
        <w:numPr>
          <w:ilvl w:val="0"/>
          <w:numId w:val="27"/>
        </w:numPr>
        <w:rPr>
          <w:rFonts w:ascii="Calibri" w:hAnsi="Calibri" w:cs="Calibri"/>
          <w:lang w:val="en-US"/>
        </w:rPr>
      </w:pPr>
      <w:r w:rsidRPr="00B75230">
        <w:rPr>
          <w:rFonts w:ascii="Calibri" w:hAnsi="Calibri" w:cs="Calibri"/>
          <w:lang w:val="en-US"/>
        </w:rPr>
        <w:t>Establishing an early warning system.</w:t>
      </w:r>
    </w:p>
    <w:p w14:paraId="4BB45D7F" w14:textId="77777777" w:rsidR="00B75230" w:rsidRPr="00B75230" w:rsidRDefault="00B75230" w:rsidP="00B75230">
      <w:pPr>
        <w:numPr>
          <w:ilvl w:val="0"/>
          <w:numId w:val="27"/>
        </w:numPr>
        <w:rPr>
          <w:rFonts w:ascii="Calibri" w:hAnsi="Calibri" w:cs="Calibri"/>
          <w:lang w:val="en-US"/>
        </w:rPr>
      </w:pPr>
      <w:r w:rsidRPr="00B75230">
        <w:rPr>
          <w:rFonts w:ascii="Calibri" w:hAnsi="Calibri" w:cs="Calibri"/>
          <w:lang w:val="en-US"/>
        </w:rPr>
        <w:t>Facilitating decision-making in the management and maintenance of infrastructure.</w:t>
      </w:r>
    </w:p>
    <w:p w14:paraId="61739E16" w14:textId="77777777" w:rsidR="00B75230" w:rsidRPr="00B75230" w:rsidRDefault="00B75230" w:rsidP="00B75230">
      <w:pPr>
        <w:numPr>
          <w:ilvl w:val="0"/>
          <w:numId w:val="27"/>
        </w:numPr>
        <w:rPr>
          <w:rFonts w:ascii="Calibri" w:hAnsi="Calibri" w:cs="Calibri"/>
          <w:lang w:val="en-US"/>
        </w:rPr>
      </w:pPr>
      <w:r w:rsidRPr="00B75230">
        <w:rPr>
          <w:rFonts w:ascii="Calibri" w:hAnsi="Calibri" w:cs="Calibri"/>
          <w:lang w:val="en-US"/>
        </w:rPr>
        <w:t>Serving as a foundation for future expansions that integrate new risk parameters.</w:t>
      </w:r>
    </w:p>
    <w:p w14:paraId="2B84A0BD" w14:textId="457AB6FA" w:rsidR="00B75230" w:rsidRPr="00B75230" w:rsidRDefault="00B75230" w:rsidP="00B75230">
      <w:pPr>
        <w:rPr>
          <w:rFonts w:ascii="Calibri" w:hAnsi="Calibri" w:cs="Calibri"/>
          <w:lang w:val="en-US"/>
        </w:rPr>
      </w:pPr>
      <w:r w:rsidRPr="00B75230">
        <w:rPr>
          <w:rFonts w:ascii="Calibri" w:hAnsi="Calibri" w:cs="Calibri"/>
          <w:lang w:val="en-US"/>
        </w:rPr>
        <w:t>For this Proof of Concept, the study area will be limited to the province of Alicante</w:t>
      </w:r>
      <w:r w:rsidR="009047A1">
        <w:rPr>
          <w:rFonts w:ascii="Calibri" w:hAnsi="Calibri" w:cs="Calibri"/>
          <w:lang w:val="en-US"/>
        </w:rPr>
        <w:t xml:space="preserve"> (Spain)</w:t>
      </w:r>
      <w:r w:rsidRPr="00B75230">
        <w:rPr>
          <w:rFonts w:ascii="Calibri" w:hAnsi="Calibri" w:cs="Calibri"/>
          <w:lang w:val="en-US"/>
        </w:rPr>
        <w:t>, which has multiple flood-prone areas and allows for the inclusion of information related to coastal flood hazard maps.</w:t>
      </w:r>
    </w:p>
    <w:p w14:paraId="1A1737F9" w14:textId="77777777" w:rsidR="00B75230" w:rsidRPr="00B75230" w:rsidRDefault="00B75230" w:rsidP="00B75230">
      <w:pPr>
        <w:rPr>
          <w:rFonts w:ascii="Calibri" w:hAnsi="Calibri" w:cs="Calibri"/>
          <w:lang w:val="en-US"/>
        </w:rPr>
      </w:pPr>
      <w:r w:rsidRPr="00B75230">
        <w:rPr>
          <w:rFonts w:ascii="Calibri" w:hAnsi="Calibri" w:cs="Calibri"/>
          <w:lang w:val="en-US"/>
        </w:rPr>
        <w:t>Additionally, we will limit the evaluation of flood risk to 50 TCs.</w:t>
      </w:r>
    </w:p>
    <w:p w14:paraId="07CAFF9C" w14:textId="77777777" w:rsidR="00B75230" w:rsidRPr="00B75230" w:rsidRDefault="00B75230" w:rsidP="00B75230">
      <w:pPr>
        <w:rPr>
          <w:rFonts w:ascii="Calibri" w:hAnsi="Calibri" w:cs="Calibri"/>
          <w:lang w:val="en-US"/>
        </w:rPr>
      </w:pPr>
      <w:r w:rsidRPr="00B75230">
        <w:rPr>
          <w:rFonts w:ascii="Calibri" w:hAnsi="Calibri" w:cs="Calibri"/>
          <w:lang w:val="en-US"/>
        </w:rPr>
        <w:t>The project's architecture has been designed with a modular approach using AWS in combination with SAP BPT, to enable the development of a scalable project, considering the potential future incorporation of new risk parameters that will enhance the model’s robustness and expand its reach.</w:t>
      </w:r>
    </w:p>
    <w:p w14:paraId="7C85B5B6" w14:textId="77777777" w:rsidR="00316D0A" w:rsidRPr="00316D0A" w:rsidRDefault="00000000" w:rsidP="00316D0A">
      <w:pPr>
        <w:rPr>
          <w:rFonts w:ascii="Calibri" w:hAnsi="Calibri" w:cs="Calibri"/>
        </w:rPr>
      </w:pPr>
      <w:r>
        <w:rPr>
          <w:rFonts w:ascii="Calibri" w:hAnsi="Calibri" w:cs="Calibri"/>
        </w:rPr>
        <w:pict w14:anchorId="0449E3FD">
          <v:rect id="_x0000_i1026" style="width:0;height:1.5pt" o:hralign="center" o:hrstd="t" o:hr="t" fillcolor="#a0a0a0" stroked="f"/>
        </w:pict>
      </w:r>
    </w:p>
    <w:p w14:paraId="3098FC62" w14:textId="59F71E33" w:rsidR="00316D0A" w:rsidRPr="008B0C13" w:rsidRDefault="00316D0A" w:rsidP="006B734B">
      <w:pPr>
        <w:pStyle w:val="Heading1"/>
        <w:rPr>
          <w:lang w:val="en-US"/>
        </w:rPr>
      </w:pPr>
      <w:bookmarkStart w:id="2" w:name="_Toc191888370"/>
      <w:r w:rsidRPr="008B0C13">
        <w:rPr>
          <w:lang w:val="en-US"/>
        </w:rPr>
        <w:t xml:space="preserve">3. </w:t>
      </w:r>
      <w:r w:rsidR="008B0C13" w:rsidRPr="008B0C13">
        <w:rPr>
          <w:lang w:val="en-US"/>
        </w:rPr>
        <w:t>Functional Process Description</w:t>
      </w:r>
      <w:bookmarkEnd w:id="2"/>
    </w:p>
    <w:p w14:paraId="2F7613DD" w14:textId="75295D60" w:rsidR="00842A5C" w:rsidRPr="00842A5C" w:rsidRDefault="00316D0A" w:rsidP="00842A5C">
      <w:pPr>
        <w:pStyle w:val="Heading3"/>
        <w:rPr>
          <w:lang w:val="en-US"/>
        </w:rPr>
      </w:pPr>
      <w:bookmarkStart w:id="3" w:name="_Toc191888371"/>
      <w:r w:rsidRPr="008B0C13">
        <w:rPr>
          <w:lang w:val="en-US"/>
        </w:rPr>
        <w:t xml:space="preserve">3.1. </w:t>
      </w:r>
      <w:r w:rsidR="008B0C13" w:rsidRPr="008B0C13">
        <w:rPr>
          <w:lang w:val="en-US"/>
        </w:rPr>
        <w:t>Data Reception and Validation</w:t>
      </w:r>
      <w:bookmarkEnd w:id="3"/>
    </w:p>
    <w:p w14:paraId="66AD4A32" w14:textId="66ADDD13" w:rsidR="00842A5C" w:rsidRDefault="00842A5C">
      <w:pPr>
        <w:pStyle w:val="ListParagraph"/>
        <w:numPr>
          <w:ilvl w:val="0"/>
          <w:numId w:val="42"/>
        </w:numPr>
        <w:rPr>
          <w:rFonts w:ascii="Calibri" w:hAnsi="Calibri" w:cs="Calibri"/>
          <w:lang w:val="en-US"/>
        </w:rPr>
      </w:pPr>
      <w:r w:rsidRPr="00842A5C">
        <w:rPr>
          <w:rFonts w:ascii="Calibri" w:hAnsi="Calibri" w:cs="Calibri"/>
          <w:b/>
          <w:bCs/>
          <w:lang w:val="en-US"/>
        </w:rPr>
        <w:t xml:space="preserve">Daily connection to SAP to retrieve information related to Iberdrola’s Transformer Centers (TCs): </w:t>
      </w:r>
      <w:r w:rsidRPr="00842A5C">
        <w:rPr>
          <w:rFonts w:ascii="Calibri" w:hAnsi="Calibri" w:cs="Calibri"/>
          <w:lang w:val="en-US"/>
        </w:rPr>
        <w:t>Connection to the SAP BPT API to retrieve information related to the TCs.</w:t>
      </w:r>
    </w:p>
    <w:p w14:paraId="39689342" w14:textId="77777777" w:rsidR="00842A5C" w:rsidRPr="00842A5C" w:rsidRDefault="00842A5C">
      <w:pPr>
        <w:pStyle w:val="ListParagraph"/>
        <w:numPr>
          <w:ilvl w:val="0"/>
          <w:numId w:val="42"/>
        </w:numPr>
        <w:rPr>
          <w:rFonts w:ascii="Calibri" w:hAnsi="Calibri" w:cs="Calibri"/>
          <w:b/>
          <w:bCs/>
          <w:lang w:val="en-US"/>
        </w:rPr>
      </w:pPr>
      <w:r w:rsidRPr="00842A5C">
        <w:rPr>
          <w:rFonts w:ascii="Calibri" w:hAnsi="Calibri" w:cs="Calibri"/>
          <w:b/>
          <w:bCs/>
          <w:lang w:val="en-US"/>
        </w:rPr>
        <w:t>Daily connection, every 12 hours, to Open-</w:t>
      </w:r>
      <w:proofErr w:type="spellStart"/>
      <w:r w:rsidRPr="00842A5C">
        <w:rPr>
          <w:rFonts w:ascii="Calibri" w:hAnsi="Calibri" w:cs="Calibri"/>
          <w:b/>
          <w:bCs/>
          <w:lang w:val="en-US"/>
        </w:rPr>
        <w:t>Meteo</w:t>
      </w:r>
      <w:proofErr w:type="spellEnd"/>
      <w:r w:rsidRPr="00842A5C">
        <w:rPr>
          <w:rFonts w:ascii="Calibri" w:hAnsi="Calibri" w:cs="Calibri"/>
          <w:b/>
          <w:bCs/>
          <w:lang w:val="en-US"/>
        </w:rPr>
        <w:t xml:space="preserve"> and the DWD ICON model to receive precipitation forecasts for the next four days:</w:t>
      </w:r>
      <w:r w:rsidRPr="00842A5C">
        <w:rPr>
          <w:rFonts w:ascii="Calibri" w:hAnsi="Calibri" w:cs="Calibri"/>
          <w:lang w:val="en-US"/>
        </w:rPr>
        <w:t xml:space="preserve"> Connection to the Open-</w:t>
      </w:r>
      <w:proofErr w:type="spellStart"/>
      <w:r w:rsidRPr="00842A5C">
        <w:rPr>
          <w:rFonts w:ascii="Calibri" w:hAnsi="Calibri" w:cs="Calibri"/>
          <w:lang w:val="en-US"/>
        </w:rPr>
        <w:t>Meteo</w:t>
      </w:r>
      <w:proofErr w:type="spellEnd"/>
      <w:r w:rsidRPr="00842A5C">
        <w:rPr>
          <w:rFonts w:ascii="Calibri" w:hAnsi="Calibri" w:cs="Calibri"/>
          <w:lang w:val="en-US"/>
        </w:rPr>
        <w:t xml:space="preserve"> API and data formatting for application consumption. Data is received for the latitude and longitude coordinates of each TC. Scheduled twice a day.</w:t>
      </w:r>
    </w:p>
    <w:p w14:paraId="08BA7FF3" w14:textId="5B13D900" w:rsidR="00842A5C" w:rsidRPr="00842A5C" w:rsidRDefault="00842A5C">
      <w:pPr>
        <w:pStyle w:val="ListParagraph"/>
        <w:numPr>
          <w:ilvl w:val="0"/>
          <w:numId w:val="42"/>
        </w:numPr>
        <w:rPr>
          <w:rFonts w:ascii="Calibri" w:hAnsi="Calibri" w:cs="Calibri"/>
          <w:b/>
          <w:bCs/>
          <w:lang w:val="en-US"/>
        </w:rPr>
      </w:pPr>
      <w:r w:rsidRPr="00842A5C">
        <w:rPr>
          <w:rFonts w:ascii="Calibri" w:hAnsi="Calibri" w:cs="Calibri"/>
          <w:b/>
          <w:bCs/>
          <w:lang w:val="en-US"/>
        </w:rPr>
        <w:t>Daily connection, every 12 hours, to Open-</w:t>
      </w:r>
      <w:proofErr w:type="spellStart"/>
      <w:r w:rsidRPr="00842A5C">
        <w:rPr>
          <w:rFonts w:ascii="Calibri" w:hAnsi="Calibri" w:cs="Calibri"/>
          <w:b/>
          <w:bCs/>
          <w:lang w:val="en-US"/>
        </w:rPr>
        <w:t>Meteo</w:t>
      </w:r>
      <w:proofErr w:type="spellEnd"/>
      <w:r w:rsidRPr="00842A5C">
        <w:rPr>
          <w:rFonts w:ascii="Calibri" w:hAnsi="Calibri" w:cs="Calibri"/>
          <w:b/>
          <w:bCs/>
          <w:lang w:val="en-US"/>
        </w:rPr>
        <w:t xml:space="preserve"> and the Copernicus system to receive flood probability data: </w:t>
      </w:r>
      <w:r w:rsidRPr="00842A5C">
        <w:rPr>
          <w:rFonts w:ascii="Calibri" w:hAnsi="Calibri" w:cs="Calibri"/>
          <w:lang w:val="en-US"/>
        </w:rPr>
        <w:t>Connection to the Open-</w:t>
      </w:r>
      <w:proofErr w:type="spellStart"/>
      <w:r w:rsidRPr="00842A5C">
        <w:rPr>
          <w:rFonts w:ascii="Calibri" w:hAnsi="Calibri" w:cs="Calibri"/>
          <w:lang w:val="en-US"/>
        </w:rPr>
        <w:t>Meteo</w:t>
      </w:r>
      <w:proofErr w:type="spellEnd"/>
      <w:r w:rsidRPr="00842A5C">
        <w:rPr>
          <w:rFonts w:ascii="Calibri" w:hAnsi="Calibri" w:cs="Calibri"/>
          <w:lang w:val="en-US"/>
        </w:rPr>
        <w:t xml:space="preserve"> API to receive river flood probability data from the Copernicus system for the geographic locations of the TCs. Scheduled twice a day.</w:t>
      </w:r>
    </w:p>
    <w:p w14:paraId="75CB410D" w14:textId="77777777" w:rsidR="00842A5C" w:rsidRPr="00842A5C" w:rsidRDefault="00842A5C" w:rsidP="00842A5C">
      <w:pPr>
        <w:rPr>
          <w:rFonts w:ascii="Calibri" w:hAnsi="Calibri" w:cs="Calibri"/>
          <w:b/>
          <w:bCs/>
          <w:lang w:val="en-US"/>
        </w:rPr>
      </w:pPr>
    </w:p>
    <w:p w14:paraId="118B7D45" w14:textId="50EA67B3" w:rsidR="00842A5C" w:rsidRPr="00842A5C" w:rsidRDefault="00842A5C" w:rsidP="00842A5C">
      <w:pPr>
        <w:pStyle w:val="ListParagraph"/>
        <w:numPr>
          <w:ilvl w:val="0"/>
          <w:numId w:val="43"/>
        </w:numPr>
        <w:rPr>
          <w:rFonts w:ascii="Calibri" w:hAnsi="Calibri" w:cs="Calibri"/>
          <w:lang w:val="en-US"/>
        </w:rPr>
      </w:pPr>
      <w:r w:rsidRPr="00842A5C">
        <w:rPr>
          <w:rFonts w:ascii="Calibri" w:hAnsi="Calibri" w:cs="Calibri"/>
          <w:b/>
          <w:bCs/>
          <w:lang w:val="en-US"/>
        </w:rPr>
        <w:t>Daily connection to AEMET, every 4 hours, to receive weather alert data:</w:t>
      </w:r>
    </w:p>
    <w:p w14:paraId="2F51891F" w14:textId="7AA667C8" w:rsidR="00842A5C" w:rsidRPr="00842A5C" w:rsidRDefault="00842A5C" w:rsidP="00842A5C">
      <w:pPr>
        <w:pStyle w:val="ListParagraph"/>
        <w:ind w:left="825"/>
        <w:rPr>
          <w:rFonts w:ascii="Calibri" w:hAnsi="Calibri" w:cs="Calibri"/>
          <w:lang w:val="en-US"/>
        </w:rPr>
      </w:pPr>
      <w:r w:rsidRPr="00842A5C">
        <w:rPr>
          <w:rFonts w:ascii="Calibri" w:hAnsi="Calibri" w:cs="Calibri"/>
          <w:lang w:val="en-US"/>
        </w:rPr>
        <w:t>Connection to the AEMET API to receive alerts for weather events. The geographic points of the TCs are linked to the alert-affected zones. Scheduled six times a day.</w:t>
      </w:r>
    </w:p>
    <w:p w14:paraId="3B22DA73" w14:textId="13CD2BEB" w:rsidR="00842A5C" w:rsidRPr="00842A5C" w:rsidRDefault="00842A5C">
      <w:pPr>
        <w:pStyle w:val="ListParagraph"/>
        <w:numPr>
          <w:ilvl w:val="0"/>
          <w:numId w:val="43"/>
        </w:numPr>
        <w:rPr>
          <w:rFonts w:ascii="Calibri" w:hAnsi="Calibri" w:cs="Calibri"/>
          <w:b/>
          <w:bCs/>
          <w:lang w:val="en-US"/>
        </w:rPr>
      </w:pPr>
      <w:r w:rsidRPr="00842A5C">
        <w:rPr>
          <w:rFonts w:ascii="Calibri" w:hAnsi="Calibri" w:cs="Calibri"/>
          <w:b/>
          <w:bCs/>
          <w:lang w:val="en-US"/>
        </w:rPr>
        <w:t xml:space="preserve">Processing of CNIG maps related to river flood risk areas: </w:t>
      </w:r>
      <w:r w:rsidRPr="00842A5C">
        <w:rPr>
          <w:rFonts w:ascii="Calibri" w:hAnsi="Calibri" w:cs="Calibri"/>
          <w:lang w:val="en-US"/>
        </w:rPr>
        <w:t>Extraction of map coordinates along with water height data in case of flooding. Executed only once.</w:t>
      </w:r>
    </w:p>
    <w:p w14:paraId="3B376D4E" w14:textId="2F619ACB" w:rsidR="00842A5C" w:rsidRPr="00842A5C" w:rsidRDefault="00842A5C">
      <w:pPr>
        <w:pStyle w:val="ListParagraph"/>
        <w:numPr>
          <w:ilvl w:val="0"/>
          <w:numId w:val="43"/>
        </w:numPr>
        <w:rPr>
          <w:rFonts w:ascii="Calibri" w:hAnsi="Calibri" w:cs="Calibri"/>
          <w:lang w:val="en-US"/>
        </w:rPr>
      </w:pPr>
      <w:r w:rsidRPr="00842A5C">
        <w:rPr>
          <w:rFonts w:ascii="Calibri" w:hAnsi="Calibri" w:cs="Calibri"/>
          <w:b/>
          <w:bCs/>
          <w:lang w:val="en-US"/>
        </w:rPr>
        <w:t xml:space="preserve">Processing of CNIG maps related to coastal flood risk areas: </w:t>
      </w:r>
      <w:r w:rsidRPr="00842A5C">
        <w:rPr>
          <w:rFonts w:ascii="Calibri" w:hAnsi="Calibri" w:cs="Calibri"/>
          <w:lang w:val="en-US"/>
        </w:rPr>
        <w:t>Extraction of map coordinates along with water height data in case of flooding. Executed only once.</w:t>
      </w:r>
    </w:p>
    <w:p w14:paraId="0EFD5078" w14:textId="3771702E" w:rsidR="00842A5C" w:rsidRPr="00842A5C" w:rsidRDefault="00842A5C">
      <w:pPr>
        <w:pStyle w:val="ListParagraph"/>
        <w:numPr>
          <w:ilvl w:val="0"/>
          <w:numId w:val="43"/>
        </w:numPr>
        <w:rPr>
          <w:rFonts w:ascii="Calibri" w:hAnsi="Calibri" w:cs="Calibri"/>
          <w:b/>
          <w:bCs/>
          <w:lang w:val="en-US"/>
        </w:rPr>
      </w:pPr>
      <w:r w:rsidRPr="00842A5C">
        <w:rPr>
          <w:rFonts w:ascii="Calibri" w:hAnsi="Calibri" w:cs="Calibri"/>
          <w:b/>
          <w:bCs/>
          <w:lang w:val="en-US"/>
        </w:rPr>
        <w:t xml:space="preserve">Processing of Excel sheets with information obtained through direct observation of flood-prone facilities: </w:t>
      </w:r>
      <w:r w:rsidRPr="00842A5C">
        <w:rPr>
          <w:rFonts w:ascii="Calibri" w:hAnsi="Calibri" w:cs="Calibri"/>
          <w:lang w:val="en-US"/>
        </w:rPr>
        <w:t>If available, information will be stored for those TCs considered especially prone to flooding. Executed only once.</w:t>
      </w:r>
    </w:p>
    <w:p w14:paraId="1283ADEC" w14:textId="00F989A9" w:rsidR="00842A5C" w:rsidRPr="00842A5C" w:rsidRDefault="00842A5C" w:rsidP="00842A5C">
      <w:pPr>
        <w:pStyle w:val="ListParagraph"/>
        <w:numPr>
          <w:ilvl w:val="0"/>
          <w:numId w:val="43"/>
        </w:numPr>
        <w:rPr>
          <w:rFonts w:ascii="Calibri" w:hAnsi="Calibri" w:cs="Calibri"/>
          <w:lang w:val="en-US"/>
        </w:rPr>
      </w:pPr>
      <w:r w:rsidRPr="00842A5C">
        <w:rPr>
          <w:rFonts w:ascii="Calibri" w:hAnsi="Calibri" w:cs="Calibri"/>
          <w:b/>
          <w:bCs/>
          <w:lang w:val="en-US"/>
        </w:rPr>
        <w:t>Documentation related to preventive and reactive actions to be taken:</w:t>
      </w:r>
      <w:r w:rsidRPr="00842A5C">
        <w:rPr>
          <w:rFonts w:ascii="Calibri" w:hAnsi="Calibri" w:cs="Calibri"/>
          <w:lang w:val="en-US"/>
        </w:rPr>
        <w:t xml:space="preserve">  Uploading to the document database of the company’s action protocols in case of flooding, failure, or risk situations.</w:t>
      </w:r>
    </w:p>
    <w:p w14:paraId="06E43685" w14:textId="763280D9" w:rsidR="00316D0A" w:rsidRPr="00316D0A" w:rsidRDefault="00000000" w:rsidP="00842A5C">
      <w:pPr>
        <w:rPr>
          <w:rFonts w:ascii="Calibri" w:hAnsi="Calibri" w:cs="Calibri"/>
        </w:rPr>
      </w:pPr>
      <w:r>
        <w:rPr>
          <w:rFonts w:ascii="Calibri" w:hAnsi="Calibri" w:cs="Calibri"/>
        </w:rPr>
        <w:pict w14:anchorId="21BC148A">
          <v:rect id="_x0000_i1027" style="width:0;height:1.5pt" o:hralign="center" o:hrstd="t" o:hr="t" fillcolor="#a0a0a0" stroked="f"/>
        </w:pict>
      </w:r>
    </w:p>
    <w:p w14:paraId="2F51E46A" w14:textId="3BCB11BD" w:rsidR="000A5B6B" w:rsidRPr="009047A1" w:rsidRDefault="00316D0A" w:rsidP="006B734B">
      <w:pPr>
        <w:pStyle w:val="Heading3"/>
        <w:rPr>
          <w:lang w:val="en-US"/>
        </w:rPr>
      </w:pPr>
      <w:bookmarkStart w:id="4" w:name="_Toc191888372"/>
      <w:r w:rsidRPr="009047A1">
        <w:rPr>
          <w:lang w:val="en-US"/>
        </w:rPr>
        <w:t>3.2.</w:t>
      </w:r>
      <w:r w:rsidR="000A5B6B" w:rsidRPr="009047A1">
        <w:rPr>
          <w:lang w:val="en-US"/>
        </w:rPr>
        <w:t xml:space="preserve"> </w:t>
      </w:r>
      <w:r w:rsidR="008B0C13" w:rsidRPr="009047A1">
        <w:rPr>
          <w:lang w:val="en-US"/>
        </w:rPr>
        <w:t>Calculation of Individual Risks</w:t>
      </w:r>
      <w:bookmarkEnd w:id="4"/>
    </w:p>
    <w:p w14:paraId="2133CF9D" w14:textId="77777777" w:rsidR="000A5B6B" w:rsidRPr="009047A1" w:rsidRDefault="000A5B6B" w:rsidP="000A5B6B">
      <w:pPr>
        <w:rPr>
          <w:lang w:val="en-US"/>
        </w:rPr>
      </w:pPr>
    </w:p>
    <w:p w14:paraId="7C0C2D82" w14:textId="23F57CC5" w:rsidR="00316D0A" w:rsidRPr="00E37FD1" w:rsidRDefault="000A5B6B" w:rsidP="000A5B6B">
      <w:pPr>
        <w:pStyle w:val="Heading4"/>
        <w:rPr>
          <w:lang w:val="en-US"/>
        </w:rPr>
      </w:pPr>
      <w:r w:rsidRPr="009047A1">
        <w:rPr>
          <w:lang w:val="en-US"/>
        </w:rPr>
        <w:t xml:space="preserve">3.2.1. </w:t>
      </w:r>
      <w:r w:rsidR="00E37FD1" w:rsidRPr="00E37FD1">
        <w:rPr>
          <w:lang w:val="en-US"/>
        </w:rPr>
        <w:t>Calculation of precipitation risk for a given day.</w:t>
      </w:r>
    </w:p>
    <w:p w14:paraId="1E3D2009" w14:textId="77777777" w:rsidR="000A5B6B" w:rsidRPr="00E37FD1" w:rsidRDefault="000A5B6B" w:rsidP="000A5B6B">
      <w:pPr>
        <w:rPr>
          <w:lang w:val="en-US"/>
        </w:rPr>
      </w:pPr>
    </w:p>
    <w:p w14:paraId="447A93ED" w14:textId="3C7207DE" w:rsidR="008B1FDC" w:rsidRPr="008B1FDC" w:rsidRDefault="00B74E00" w:rsidP="008B1FDC">
      <w:pPr>
        <w:numPr>
          <w:ilvl w:val="0"/>
          <w:numId w:val="29"/>
        </w:numPr>
        <w:rPr>
          <w:rFonts w:ascii="Calibri" w:hAnsi="Calibri" w:cs="Calibri"/>
          <w:lang w:val="en-US"/>
        </w:rPr>
      </w:pPr>
      <w:r w:rsidRPr="00B74E00">
        <w:rPr>
          <w:rFonts w:ascii="Calibri" w:hAnsi="Calibri" w:cs="Calibri"/>
          <w:b/>
          <w:bCs/>
          <w:lang w:val="en-US"/>
        </w:rPr>
        <w:t xml:space="preserve">Rain forecast for each </w:t>
      </w:r>
      <w:r>
        <w:rPr>
          <w:rFonts w:ascii="Calibri" w:hAnsi="Calibri" w:cs="Calibri"/>
          <w:b/>
          <w:bCs/>
          <w:lang w:val="en-US"/>
        </w:rPr>
        <w:t>TC</w:t>
      </w:r>
      <w:r w:rsidR="008B1FDC" w:rsidRPr="008B1FDC">
        <w:rPr>
          <w:rFonts w:ascii="Calibri" w:hAnsi="Calibri" w:cs="Calibri"/>
          <w:b/>
          <w:bCs/>
          <w:lang w:val="en-US"/>
        </w:rPr>
        <w:t xml:space="preserve">: </w:t>
      </w:r>
      <w:r w:rsidRPr="00B74E00">
        <w:rPr>
          <w:rFonts w:ascii="Calibri" w:hAnsi="Calibri" w:cs="Calibri"/>
          <w:lang w:val="en-US"/>
        </w:rPr>
        <w:t>Precipitation forecasts are obtained via API based on the coordinates of each</w:t>
      </w:r>
      <w:r>
        <w:rPr>
          <w:rFonts w:ascii="Calibri" w:hAnsi="Calibri" w:cs="Calibri"/>
          <w:lang w:val="en-US"/>
        </w:rPr>
        <w:t xml:space="preserve"> TC</w:t>
      </w:r>
      <w:r w:rsidR="008B1FDC" w:rsidRPr="008B1FDC">
        <w:rPr>
          <w:rFonts w:ascii="Calibri" w:hAnsi="Calibri" w:cs="Calibri"/>
          <w:lang w:val="en-US"/>
        </w:rPr>
        <w:t>.</w:t>
      </w:r>
    </w:p>
    <w:p w14:paraId="2D89CA8F" w14:textId="77777777" w:rsidR="008B1FDC" w:rsidRPr="008B1FDC" w:rsidRDefault="008B1FDC" w:rsidP="008B1FDC">
      <w:pPr>
        <w:rPr>
          <w:rFonts w:ascii="Calibri" w:hAnsi="Calibri" w:cs="Calibri"/>
          <w:lang w:val="en-US"/>
        </w:rPr>
      </w:pPr>
      <w:r w:rsidRPr="008B1FDC">
        <w:rPr>
          <w:rFonts w:ascii="Calibri" w:hAnsi="Calibri" w:cs="Calibri"/>
          <w:lang w:val="en-US"/>
        </w:rPr>
        <w:t>Two independent calculations are made for rain:</w:t>
      </w:r>
    </w:p>
    <w:p w14:paraId="1A2C932A" w14:textId="3D0DD6BB" w:rsidR="008B1FDC" w:rsidRPr="008B1FDC" w:rsidRDefault="008B1FDC" w:rsidP="008B1FDC">
      <w:pPr>
        <w:numPr>
          <w:ilvl w:val="0"/>
          <w:numId w:val="30"/>
        </w:numPr>
        <w:rPr>
          <w:rFonts w:ascii="Calibri" w:hAnsi="Calibri" w:cs="Calibri"/>
          <w:lang w:val="en-US"/>
        </w:rPr>
      </w:pPr>
      <w:r w:rsidRPr="008B1FDC">
        <w:rPr>
          <w:rFonts w:ascii="Calibri" w:hAnsi="Calibri" w:cs="Calibri"/>
          <w:b/>
          <w:bCs/>
          <w:lang w:val="en-US"/>
        </w:rPr>
        <w:t>Risk based on rain forecast:</w:t>
      </w:r>
      <w:r w:rsidRPr="008B1FDC">
        <w:rPr>
          <w:rFonts w:ascii="Calibri" w:hAnsi="Calibri" w:cs="Calibri"/>
          <w:lang w:val="en-US"/>
        </w:rPr>
        <w:t xml:space="preserve"> The total forecasted rainfall (in mm) is mapped to a value between 0 and 1 using a predefined threshold</w:t>
      </w:r>
      <w:r w:rsidR="008B7757">
        <w:rPr>
          <w:rFonts w:ascii="Calibri" w:hAnsi="Calibri" w:cs="Calibri"/>
          <w:lang w:val="en-US"/>
        </w:rPr>
        <w:t xml:space="preserve"> per province</w:t>
      </w:r>
      <w:r w:rsidRPr="008B1FDC">
        <w:rPr>
          <w:rFonts w:ascii="Calibri" w:hAnsi="Calibri" w:cs="Calibri"/>
          <w:lang w:val="en-US"/>
        </w:rPr>
        <w:t xml:space="preserve"> (see section 4.1 for thresholds).</w:t>
      </w:r>
    </w:p>
    <w:p w14:paraId="27E0986B" w14:textId="77777777" w:rsidR="00842A5C" w:rsidRDefault="008B1FDC">
      <w:pPr>
        <w:numPr>
          <w:ilvl w:val="0"/>
          <w:numId w:val="30"/>
        </w:numPr>
        <w:rPr>
          <w:rFonts w:ascii="Calibri" w:hAnsi="Calibri" w:cs="Calibri"/>
          <w:lang w:val="en-US"/>
        </w:rPr>
      </w:pPr>
      <w:r w:rsidRPr="00842A5C">
        <w:rPr>
          <w:rFonts w:ascii="Calibri" w:hAnsi="Calibri" w:cs="Calibri"/>
          <w:b/>
          <w:bCs/>
          <w:lang w:val="en-US"/>
        </w:rPr>
        <w:t>Risk based on rain accumulation:</w:t>
      </w:r>
      <w:r w:rsidRPr="00842A5C">
        <w:rPr>
          <w:rFonts w:ascii="Calibri" w:hAnsi="Calibri" w:cs="Calibri"/>
          <w:lang w:val="en-US"/>
        </w:rPr>
        <w:t xml:space="preserve"> </w:t>
      </w:r>
      <w:r w:rsidR="00842A5C" w:rsidRPr="00842A5C">
        <w:rPr>
          <w:rFonts w:ascii="Calibri" w:hAnsi="Calibri" w:cs="Calibri"/>
          <w:lang w:val="en-US"/>
        </w:rPr>
        <w:t>A similar mapping is applied for accumulated rainfall over the past 48 hours, in 12-, 24-, and 48-hour intervals, using a different threshold (see section 4.1 Thresholds).</w:t>
      </w:r>
      <w:r w:rsidR="00842A5C">
        <w:rPr>
          <w:rFonts w:ascii="Calibri" w:hAnsi="Calibri" w:cs="Calibri"/>
          <w:lang w:val="en-US"/>
        </w:rPr>
        <w:t xml:space="preserve"> </w:t>
      </w:r>
    </w:p>
    <w:p w14:paraId="64E5137E" w14:textId="7917FA0C" w:rsidR="008B1FDC" w:rsidRPr="00842A5C" w:rsidRDefault="008B1FDC" w:rsidP="00842A5C">
      <w:pPr>
        <w:ind w:left="720"/>
        <w:rPr>
          <w:rFonts w:ascii="Calibri" w:hAnsi="Calibri" w:cs="Calibri"/>
          <w:lang w:val="en-US"/>
        </w:rPr>
      </w:pPr>
      <w:r w:rsidRPr="00842A5C">
        <w:rPr>
          <w:rFonts w:ascii="Calibri" w:hAnsi="Calibri" w:cs="Calibri"/>
          <w:lang w:val="en-US"/>
        </w:rPr>
        <w:t>Both risks are combined using configurable weights, resulting in a global value associated with precipitation.</w:t>
      </w:r>
    </w:p>
    <w:p w14:paraId="66180C52" w14:textId="2A02B656" w:rsidR="00316D0A" w:rsidRPr="008B1FDC" w:rsidRDefault="00316D0A" w:rsidP="00316D0A">
      <w:pPr>
        <w:rPr>
          <w:rFonts w:ascii="Calibri" w:hAnsi="Calibri" w:cs="Calibri"/>
          <w:lang w:val="en-US"/>
        </w:rPr>
      </w:pPr>
    </w:p>
    <w:p w14:paraId="439D9A01" w14:textId="1362AEB8" w:rsidR="00316D0A" w:rsidRPr="00E37FD1" w:rsidRDefault="00316D0A" w:rsidP="000A5B6B">
      <w:pPr>
        <w:pStyle w:val="Heading4"/>
        <w:rPr>
          <w:lang w:val="en-US"/>
        </w:rPr>
      </w:pPr>
      <w:r w:rsidRPr="00E37FD1">
        <w:rPr>
          <w:lang w:val="en-US"/>
        </w:rPr>
        <w:lastRenderedPageBreak/>
        <w:t>3.</w:t>
      </w:r>
      <w:r w:rsidR="000A5B6B" w:rsidRPr="00E37FD1">
        <w:rPr>
          <w:lang w:val="en-US"/>
        </w:rPr>
        <w:t>2.2</w:t>
      </w:r>
      <w:r w:rsidRPr="00E37FD1">
        <w:rPr>
          <w:lang w:val="en-US"/>
        </w:rPr>
        <w:t xml:space="preserve">. </w:t>
      </w:r>
      <w:r w:rsidR="00E37FD1" w:rsidRPr="00E37FD1">
        <w:rPr>
          <w:lang w:val="en-US"/>
        </w:rPr>
        <w:t>Calculation of flood-prone area risk</w:t>
      </w:r>
      <w:r w:rsidR="00E37FD1">
        <w:rPr>
          <w:lang w:val="en-US"/>
        </w:rPr>
        <w:t>.</w:t>
      </w:r>
    </w:p>
    <w:p w14:paraId="29799865" w14:textId="77777777" w:rsidR="008B1FDC" w:rsidRPr="00E37FD1" w:rsidRDefault="008B1FDC" w:rsidP="008B1FDC">
      <w:pPr>
        <w:rPr>
          <w:lang w:val="en-US"/>
        </w:rPr>
      </w:pPr>
    </w:p>
    <w:p w14:paraId="3CA6B21D" w14:textId="18CDC7E0" w:rsidR="008B1FDC" w:rsidRDefault="008B1FDC" w:rsidP="008B1FDC">
      <w:pPr>
        <w:rPr>
          <w:rFonts w:ascii="Calibri" w:hAnsi="Calibri" w:cs="Calibri"/>
          <w:lang w:val="en-US"/>
        </w:rPr>
      </w:pPr>
      <w:r w:rsidRPr="008B1FDC">
        <w:rPr>
          <w:rFonts w:ascii="Calibri" w:hAnsi="Calibri" w:cs="Calibri"/>
          <w:lang w:val="en-US"/>
        </w:rPr>
        <w:t>Based on the information from CNIG:</w:t>
      </w:r>
      <w:r w:rsidRPr="008B1FDC">
        <w:rPr>
          <w:rFonts w:ascii="Calibri" w:hAnsi="Calibri" w:cs="Calibri"/>
          <w:lang w:val="en-US"/>
        </w:rPr>
        <w:br/>
      </w:r>
    </w:p>
    <w:p w14:paraId="7C937AB9" w14:textId="77777777" w:rsidR="008B1FDC" w:rsidRDefault="008B1FDC" w:rsidP="008B1FDC">
      <w:pPr>
        <w:ind w:left="708"/>
        <w:rPr>
          <w:rFonts w:ascii="Calibri" w:hAnsi="Calibri" w:cs="Calibri"/>
          <w:lang w:val="en-US"/>
        </w:rPr>
      </w:pPr>
      <w:r w:rsidRPr="008B1FDC">
        <w:rPr>
          <w:rFonts w:ascii="Calibri" w:hAnsi="Calibri" w:cs="Calibri"/>
          <w:lang w:val="en-US"/>
        </w:rPr>
        <w:t xml:space="preserve">• It is determined whether the CT </w:t>
      </w:r>
      <w:proofErr w:type="gramStart"/>
      <w:r w:rsidRPr="008B1FDC">
        <w:rPr>
          <w:rFonts w:ascii="Calibri" w:hAnsi="Calibri" w:cs="Calibri"/>
          <w:lang w:val="en-US"/>
        </w:rPr>
        <w:t>is located in</w:t>
      </w:r>
      <w:proofErr w:type="gramEnd"/>
      <w:r w:rsidRPr="008B1FDC">
        <w:rPr>
          <w:rFonts w:ascii="Calibri" w:hAnsi="Calibri" w:cs="Calibri"/>
          <w:lang w:val="en-US"/>
        </w:rPr>
        <w:t xml:space="preserve"> a flood-prone area. If it is not, the distance to the nearest flood-prone area is measured. A value between 0 and 1 is assigned using a predefined threshold (see 4.1 thresholds).</w:t>
      </w:r>
      <w:r w:rsidRPr="008B1FDC">
        <w:rPr>
          <w:rFonts w:ascii="Calibri" w:hAnsi="Calibri" w:cs="Calibri"/>
          <w:lang w:val="en-US"/>
        </w:rPr>
        <w:br/>
      </w:r>
    </w:p>
    <w:p w14:paraId="04A562D1" w14:textId="620BDFBF" w:rsidR="008B1FDC" w:rsidRDefault="008B1FDC" w:rsidP="008B1FDC">
      <w:pPr>
        <w:ind w:left="708"/>
        <w:rPr>
          <w:rFonts w:ascii="Calibri" w:hAnsi="Calibri" w:cs="Calibri"/>
          <w:lang w:val="en-US"/>
        </w:rPr>
      </w:pPr>
      <w:r w:rsidRPr="008B1FDC">
        <w:rPr>
          <w:rFonts w:ascii="Calibri" w:hAnsi="Calibri" w:cs="Calibri"/>
          <w:lang w:val="en-US"/>
        </w:rPr>
        <w:t>• If the CT is in a flood-prone area, the potential water altitude is used and normalized against a threshold (see 4.1 thresholds) to obtain a risk value between 0 and 1.</w:t>
      </w:r>
    </w:p>
    <w:p w14:paraId="567B9893" w14:textId="77777777" w:rsidR="008B1FDC" w:rsidRPr="008B1FDC" w:rsidRDefault="008B1FDC" w:rsidP="008B1FDC">
      <w:pPr>
        <w:ind w:left="708"/>
        <w:rPr>
          <w:rFonts w:ascii="Calibri" w:hAnsi="Calibri" w:cs="Calibri"/>
          <w:lang w:val="en-US"/>
        </w:rPr>
      </w:pPr>
    </w:p>
    <w:p w14:paraId="133A645B" w14:textId="71620C9D" w:rsidR="000A5B6B" w:rsidRPr="00E37FD1" w:rsidRDefault="000A5B6B" w:rsidP="00E37FD1">
      <w:pPr>
        <w:pStyle w:val="Heading4"/>
        <w:rPr>
          <w:lang w:val="en-US"/>
        </w:rPr>
      </w:pPr>
      <w:r w:rsidRPr="00E37FD1">
        <w:rPr>
          <w:lang w:val="en-US"/>
        </w:rPr>
        <w:t xml:space="preserve">3.2.3 </w:t>
      </w:r>
      <w:r w:rsidR="00E37FD1" w:rsidRPr="00E37FD1">
        <w:rPr>
          <w:lang w:val="en-US"/>
        </w:rPr>
        <w:t>Calculation of flood risk for a facility based on direct observation.</w:t>
      </w:r>
    </w:p>
    <w:p w14:paraId="693EB85C" w14:textId="77777777" w:rsidR="000A5B6B" w:rsidRPr="00E37FD1" w:rsidRDefault="000A5B6B" w:rsidP="000A5B6B">
      <w:pPr>
        <w:rPr>
          <w:lang w:val="en-US"/>
        </w:rPr>
      </w:pPr>
    </w:p>
    <w:p w14:paraId="4FA6BA4F" w14:textId="77777777" w:rsidR="001A4B20" w:rsidRPr="001A4B20" w:rsidRDefault="001A4B20" w:rsidP="001A4B20">
      <w:pPr>
        <w:rPr>
          <w:rFonts w:ascii="Calibri" w:hAnsi="Calibri" w:cs="Calibri"/>
          <w:lang w:val="en-US"/>
        </w:rPr>
      </w:pPr>
      <w:r w:rsidRPr="001A4B20">
        <w:rPr>
          <w:rFonts w:ascii="Calibri" w:hAnsi="Calibri" w:cs="Calibri"/>
          <w:lang w:val="en-US"/>
        </w:rPr>
        <w:t>If the CT appears in the Excel lists provided by the company as “flood-prone by direct observation,” an additional risk value is assigned.</w:t>
      </w:r>
    </w:p>
    <w:p w14:paraId="4A465652" w14:textId="77777777" w:rsidR="001A4B20" w:rsidRPr="001A4B20" w:rsidRDefault="001A4B20" w:rsidP="001A4B20">
      <w:pPr>
        <w:rPr>
          <w:rFonts w:ascii="Calibri" w:hAnsi="Calibri" w:cs="Calibri"/>
          <w:lang w:val="en-US"/>
        </w:rPr>
      </w:pPr>
      <w:r w:rsidRPr="001A4B20">
        <w:rPr>
          <w:rFonts w:ascii="Calibri" w:hAnsi="Calibri" w:cs="Calibri"/>
          <w:lang w:val="en-US"/>
        </w:rPr>
        <w:t xml:space="preserve">This value is applied as a multiplier to </w:t>
      </w:r>
      <w:proofErr w:type="gramStart"/>
      <w:r w:rsidRPr="001A4B20">
        <w:rPr>
          <w:rFonts w:ascii="Calibri" w:hAnsi="Calibri" w:cs="Calibri"/>
          <w:lang w:val="en-US"/>
        </w:rPr>
        <w:t>the final result</w:t>
      </w:r>
      <w:proofErr w:type="gramEnd"/>
      <w:r w:rsidRPr="001A4B20">
        <w:rPr>
          <w:rFonts w:ascii="Calibri" w:hAnsi="Calibri" w:cs="Calibri"/>
          <w:lang w:val="en-US"/>
        </w:rPr>
        <w:t xml:space="preserve"> (see 4.1 thresholds) to reinforce the probability of flooding. It will be applied to facilities where, despite CNIG maps indicating they are not in a flood-prone area, the company has confirmed recurring flooding issues.</w:t>
      </w:r>
    </w:p>
    <w:p w14:paraId="21DE3610" w14:textId="77777777" w:rsidR="000A5B6B" w:rsidRPr="001A4B20" w:rsidRDefault="000A5B6B" w:rsidP="000A5B6B">
      <w:pPr>
        <w:rPr>
          <w:lang w:val="en-US"/>
        </w:rPr>
      </w:pPr>
    </w:p>
    <w:p w14:paraId="2C0B6A07" w14:textId="77777777" w:rsidR="00316D0A" w:rsidRPr="00316D0A" w:rsidRDefault="00000000" w:rsidP="00316D0A">
      <w:pPr>
        <w:rPr>
          <w:rFonts w:ascii="Calibri" w:hAnsi="Calibri" w:cs="Calibri"/>
        </w:rPr>
      </w:pPr>
      <w:r>
        <w:rPr>
          <w:rFonts w:ascii="Calibri" w:hAnsi="Calibri" w:cs="Calibri"/>
        </w:rPr>
        <w:pict w14:anchorId="2EF77963">
          <v:rect id="_x0000_i1028" style="width:0;height:1.5pt" o:hralign="center" o:hrstd="t" o:hr="t" fillcolor="#a0a0a0" stroked="f"/>
        </w:pict>
      </w:r>
    </w:p>
    <w:p w14:paraId="4CEF5832" w14:textId="6A474D50" w:rsidR="00316D0A" w:rsidRPr="008B0C13" w:rsidRDefault="00316D0A" w:rsidP="006B734B">
      <w:pPr>
        <w:pStyle w:val="Heading3"/>
        <w:rPr>
          <w:lang w:val="en-US"/>
        </w:rPr>
      </w:pPr>
      <w:bookmarkStart w:id="5" w:name="_Toc191888373"/>
      <w:r w:rsidRPr="008B0C13">
        <w:rPr>
          <w:lang w:val="en-US"/>
        </w:rPr>
        <w:t>3.</w:t>
      </w:r>
      <w:r w:rsidR="00E47A85" w:rsidRPr="008B0C13">
        <w:rPr>
          <w:lang w:val="en-US"/>
        </w:rPr>
        <w:t>3</w:t>
      </w:r>
      <w:r w:rsidRPr="008B0C13">
        <w:rPr>
          <w:lang w:val="en-US"/>
        </w:rPr>
        <w:t xml:space="preserve">. </w:t>
      </w:r>
      <w:r w:rsidR="008B0C13" w:rsidRPr="008B0C13">
        <w:rPr>
          <w:lang w:val="en-US"/>
        </w:rPr>
        <w:t>Combination of Factors and Modifiers for Probability Calculation</w:t>
      </w:r>
      <w:bookmarkEnd w:id="5"/>
    </w:p>
    <w:p w14:paraId="4AAF64E7" w14:textId="77777777" w:rsidR="001A4B20" w:rsidRDefault="001A4B20" w:rsidP="001A4B20">
      <w:pPr>
        <w:rPr>
          <w:rFonts w:ascii="Calibri" w:hAnsi="Calibri" w:cs="Calibri"/>
          <w:lang w:val="en-US"/>
        </w:rPr>
      </w:pPr>
      <w:r w:rsidRPr="001A4B20">
        <w:rPr>
          <w:rFonts w:ascii="Calibri" w:hAnsi="Calibri" w:cs="Calibri"/>
          <w:lang w:val="en-US"/>
        </w:rPr>
        <w:t>The following key factors are combined:</w:t>
      </w:r>
    </w:p>
    <w:p w14:paraId="429EAE87" w14:textId="77777777" w:rsidR="001A4B20" w:rsidRDefault="001A4B20" w:rsidP="001A4B20">
      <w:pPr>
        <w:ind w:left="708"/>
        <w:rPr>
          <w:rFonts w:ascii="Calibri" w:hAnsi="Calibri" w:cs="Calibri"/>
          <w:lang w:val="en-US"/>
        </w:rPr>
      </w:pPr>
      <w:r w:rsidRPr="001A4B20">
        <w:rPr>
          <w:rFonts w:ascii="Calibri" w:hAnsi="Calibri" w:cs="Calibri"/>
          <w:lang w:val="en-US"/>
        </w:rPr>
        <w:br/>
        <w:t xml:space="preserve">• </w:t>
      </w:r>
      <w:r w:rsidRPr="001A4B20">
        <w:rPr>
          <w:rFonts w:ascii="Calibri" w:hAnsi="Calibri" w:cs="Calibri"/>
          <w:b/>
          <w:bCs/>
          <w:lang w:val="en-US"/>
        </w:rPr>
        <w:t>Precipitation Risk:</w:t>
      </w:r>
      <w:r w:rsidRPr="001A4B20">
        <w:rPr>
          <w:rFonts w:ascii="Calibri" w:hAnsi="Calibri" w:cs="Calibri"/>
          <w:lang w:val="en-US"/>
        </w:rPr>
        <w:t xml:space="preserve"> Resulting from the combination of forecast and accumulation.</w:t>
      </w:r>
      <w:r w:rsidRPr="001A4B20">
        <w:rPr>
          <w:rFonts w:ascii="Calibri" w:hAnsi="Calibri" w:cs="Calibri"/>
          <w:lang w:val="en-US"/>
        </w:rPr>
        <w:br/>
      </w:r>
    </w:p>
    <w:p w14:paraId="28C1348C" w14:textId="77777777" w:rsidR="001A4B20" w:rsidRDefault="001A4B20" w:rsidP="001A4B20">
      <w:pPr>
        <w:ind w:left="708"/>
        <w:rPr>
          <w:rFonts w:ascii="Calibri" w:hAnsi="Calibri" w:cs="Calibri"/>
          <w:lang w:val="en-US"/>
        </w:rPr>
      </w:pPr>
      <w:r w:rsidRPr="001A4B20">
        <w:rPr>
          <w:rFonts w:ascii="Calibri" w:hAnsi="Calibri" w:cs="Calibri"/>
          <w:lang w:val="en-US"/>
        </w:rPr>
        <w:t xml:space="preserve">• </w:t>
      </w:r>
      <w:r w:rsidRPr="001A4B20">
        <w:rPr>
          <w:rFonts w:ascii="Calibri" w:hAnsi="Calibri" w:cs="Calibri"/>
          <w:b/>
          <w:bCs/>
          <w:lang w:val="en-US"/>
        </w:rPr>
        <w:t>Flood-Prone Area Risk:</w:t>
      </w:r>
      <w:r w:rsidRPr="001A4B20">
        <w:rPr>
          <w:rFonts w:ascii="Calibri" w:hAnsi="Calibri" w:cs="Calibri"/>
          <w:lang w:val="en-US"/>
        </w:rPr>
        <w:t xml:space="preserve"> Calculated based on the potential water altitude.</w:t>
      </w:r>
      <w:r w:rsidRPr="001A4B20">
        <w:rPr>
          <w:rFonts w:ascii="Calibri" w:hAnsi="Calibri" w:cs="Calibri"/>
          <w:lang w:val="en-US"/>
        </w:rPr>
        <w:br/>
      </w:r>
    </w:p>
    <w:p w14:paraId="7D3E4070" w14:textId="5C9A5BD0" w:rsidR="001A4B20" w:rsidRPr="001A4B20" w:rsidRDefault="001A4B20" w:rsidP="001A4B20">
      <w:pPr>
        <w:ind w:left="708"/>
        <w:rPr>
          <w:rFonts w:ascii="Calibri" w:hAnsi="Calibri" w:cs="Calibri"/>
          <w:lang w:val="en-US"/>
        </w:rPr>
      </w:pPr>
      <w:r w:rsidRPr="001A4B20">
        <w:rPr>
          <w:rFonts w:ascii="Calibri" w:hAnsi="Calibri" w:cs="Calibri"/>
          <w:lang w:val="en-US"/>
        </w:rPr>
        <w:t xml:space="preserve">• </w:t>
      </w:r>
      <w:r w:rsidRPr="001A4B20">
        <w:rPr>
          <w:rFonts w:ascii="Calibri" w:hAnsi="Calibri" w:cs="Calibri"/>
          <w:b/>
          <w:bCs/>
          <w:lang w:val="en-US"/>
        </w:rPr>
        <w:t>Direct Observation of a Flood-Prone Facility:</w:t>
      </w:r>
      <w:r w:rsidRPr="001A4B20">
        <w:rPr>
          <w:rFonts w:ascii="Calibri" w:hAnsi="Calibri" w:cs="Calibri"/>
          <w:lang w:val="en-US"/>
        </w:rPr>
        <w:t xml:space="preserve"> A risk multiplier applied based on manual information provided by the company or the facility’s characteristics.</w:t>
      </w:r>
    </w:p>
    <w:p w14:paraId="69560FD6" w14:textId="77777777" w:rsidR="001A4B20" w:rsidRDefault="001A4B20" w:rsidP="001A4B20">
      <w:pPr>
        <w:rPr>
          <w:rFonts w:ascii="Calibri" w:hAnsi="Calibri" w:cs="Calibri"/>
          <w:lang w:val="en-US"/>
        </w:rPr>
      </w:pPr>
    </w:p>
    <w:p w14:paraId="583B0524" w14:textId="1709AD9D" w:rsidR="001A4B20" w:rsidRPr="001A4B20" w:rsidRDefault="001A4B20" w:rsidP="001A4B20">
      <w:pPr>
        <w:rPr>
          <w:rFonts w:ascii="Calibri" w:hAnsi="Calibri" w:cs="Calibri"/>
          <w:lang w:val="en-US"/>
        </w:rPr>
      </w:pPr>
      <w:r w:rsidRPr="001A4B20">
        <w:rPr>
          <w:rFonts w:ascii="Calibri" w:hAnsi="Calibri" w:cs="Calibri"/>
          <w:lang w:val="en-US"/>
        </w:rPr>
        <w:lastRenderedPageBreak/>
        <w:t xml:space="preserve">The combination is performed using a weighted formula (see </w:t>
      </w:r>
      <w:r w:rsidRPr="001A4B20">
        <w:rPr>
          <w:rFonts w:ascii="Calibri" w:hAnsi="Calibri" w:cs="Calibri"/>
          <w:b/>
          <w:bCs/>
          <w:lang w:val="en-US"/>
        </w:rPr>
        <w:t>w</w:t>
      </w:r>
      <w:r w:rsidRPr="001A4B20">
        <w:rPr>
          <w:rFonts w:ascii="Calibri" w:hAnsi="Calibri" w:cs="Calibri"/>
          <w:lang w:val="en-US"/>
        </w:rPr>
        <w:t xml:space="preserve"> values in 4.1 thresholds).</w:t>
      </w:r>
    </w:p>
    <w:p w14:paraId="41FEE8C5" w14:textId="329F8113" w:rsidR="00EB1A45" w:rsidRPr="00EB1A45" w:rsidRDefault="00000000" w:rsidP="00316D0A">
      <w:pPr>
        <w:rPr>
          <w:rFonts w:ascii="Calibri" w:eastAsiaTheme="minorEastAsia" w:hAnsi="Calibri" w:cs="Calibri"/>
        </w:rPr>
      </w:pPr>
      <m:oMathPara>
        <m:oMath>
          <m:sSub>
            <m:sSubPr>
              <m:ctrlPr>
                <w:rPr>
                  <w:rFonts w:ascii="Cambria Math" w:hAnsi="Cambria Math" w:cs="Calibri"/>
                  <w:i/>
                </w:rPr>
              </m:ctrlPr>
            </m:sSubPr>
            <m:e>
              <m:r>
                <w:rPr>
                  <w:rFonts w:ascii="Cambria Math" w:hAnsi="Cambria Math" w:cs="Calibri"/>
                </w:rPr>
                <m:t>P</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flooding</m:t>
                      </m:r>
                    </m:e>
                  </m:d>
                </m:e>
              </m:d>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w</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prec</m:t>
                      </m:r>
                    </m:e>
                  </m:d>
                </m:e>
              </m:d>
            </m:sub>
          </m:sSub>
          <m:r>
            <w:rPr>
              <w:rFonts w:ascii="Cambria Math" w:hAnsi="Cambria Math" w:cs="Calibri"/>
            </w:rPr>
            <m:t>⋅</m:t>
          </m:r>
          <m:sSub>
            <m:sSubPr>
              <m:ctrlPr>
                <w:rPr>
                  <w:rFonts w:ascii="Cambria Math" w:hAnsi="Cambria Math" w:cs="Calibri"/>
                  <w:i/>
                </w:rPr>
              </m:ctrlPr>
            </m:sSubPr>
            <m:e>
              <m:r>
                <w:rPr>
                  <w:rFonts w:ascii="Cambria Math" w:hAnsi="Cambria Math" w:cs="Calibri"/>
                </w:rPr>
                <m:t>R</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precipitation</m:t>
                      </m:r>
                    </m:e>
                  </m:d>
                </m:e>
              </m:d>
            </m:sub>
          </m:sSub>
          <m:r>
            <w:rPr>
              <w:rFonts w:ascii="Cambria Math" w:hAnsi="Cambria Math" w:cs="Calibri"/>
            </w:rPr>
            <m:t xml:space="preserve">+ </m:t>
          </m:r>
        </m:oMath>
      </m:oMathPara>
    </w:p>
    <w:p w14:paraId="5436E2FF" w14:textId="25A7242E" w:rsidR="00EB1A45" w:rsidRPr="00EB1A45" w:rsidRDefault="00000000" w:rsidP="00316D0A">
      <w:pPr>
        <w:rPr>
          <w:rFonts w:ascii="Calibri" w:eastAsiaTheme="minorEastAsia" w:hAnsi="Calibri" w:cs="Calibri"/>
        </w:rPr>
      </w:pPr>
      <m:oMathPara>
        <m:oMath>
          <m:d>
            <m:dPr>
              <m:ctrlPr>
                <w:rPr>
                  <w:rFonts w:ascii="Cambria Math" w:hAnsi="Cambria Math" w:cs="Calibri"/>
                  <w:i/>
                </w:rPr>
              </m:ctrlPr>
            </m:dPr>
            <m:e>
              <m:r>
                <w:rPr>
                  <w:rFonts w:ascii="Cambria Math" w:hAnsi="Cambria Math" w:cs="Calibri"/>
                </w:rPr>
                <m:t xml:space="preserve">1 - </m:t>
              </m:r>
              <m:sSub>
                <m:sSubPr>
                  <m:ctrlPr>
                    <w:rPr>
                      <w:rFonts w:ascii="Cambria Math" w:hAnsi="Cambria Math" w:cs="Calibri"/>
                      <w:i/>
                    </w:rPr>
                  </m:ctrlPr>
                </m:sSubPr>
                <m:e>
                  <m:r>
                    <w:rPr>
                      <w:rFonts w:ascii="Cambria Math" w:hAnsi="Cambria Math" w:cs="Calibri"/>
                    </w:rPr>
                    <m:t>O</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direct</m:t>
                          </m:r>
                        </m:e>
                      </m:d>
                    </m:e>
                  </m:d>
                </m:sub>
              </m:sSub>
            </m:e>
          </m:d>
          <m:r>
            <w:rPr>
              <w:rFonts w:ascii="Cambria Math" w:hAnsi="Cambria Math" w:cs="Calibri"/>
            </w:rPr>
            <m:t>⋅</m:t>
          </m:r>
          <m:sSub>
            <m:sSubPr>
              <m:ctrlPr>
                <w:rPr>
                  <w:rFonts w:ascii="Cambria Math" w:hAnsi="Cambria Math" w:cs="Calibri"/>
                  <w:i/>
                </w:rPr>
              </m:ctrlPr>
            </m:sSubPr>
            <m:e>
              <m:r>
                <w:rPr>
                  <w:rFonts w:ascii="Cambria Math" w:hAnsi="Cambria Math" w:cs="Calibri"/>
                </w:rPr>
                <m:t>w</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zona</m:t>
                      </m:r>
                    </m:e>
                  </m:d>
                </m:e>
              </m:d>
            </m:sub>
          </m:sSub>
          <m:r>
            <w:rPr>
              <w:rFonts w:ascii="Cambria Math" w:hAnsi="Cambria Math" w:cs="Calibri"/>
            </w:rPr>
            <m:t>⋅</m:t>
          </m:r>
          <m:sSub>
            <m:sSubPr>
              <m:ctrlPr>
                <w:rPr>
                  <w:rFonts w:ascii="Cambria Math" w:hAnsi="Cambria Math" w:cs="Calibri"/>
                  <w:i/>
                </w:rPr>
              </m:ctrlPr>
            </m:sSubPr>
            <m:e>
              <m:r>
                <w:rPr>
                  <w:rFonts w:ascii="Cambria Math" w:hAnsi="Cambria Math" w:cs="Calibri"/>
                </w:rPr>
                <m:t>R</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FloodProneZone</m:t>
                      </m:r>
                    </m:e>
                  </m:d>
                </m:e>
              </m:d>
            </m:sub>
          </m:sSub>
          <m:r>
            <w:rPr>
              <w:rFonts w:ascii="Cambria Math" w:hAnsi="Cambria Math" w:cs="Calibri"/>
            </w:rPr>
            <m:t xml:space="preserve">+ </m:t>
          </m:r>
        </m:oMath>
      </m:oMathPara>
    </w:p>
    <w:p w14:paraId="543A8FB4" w14:textId="1823B7BA" w:rsidR="00A36CF0" w:rsidRPr="00EB1A45" w:rsidRDefault="00000000" w:rsidP="00316D0A">
      <w:pPr>
        <w:rPr>
          <w:rFonts w:ascii="Calibri" w:eastAsiaTheme="minorEastAsia" w:hAnsi="Calibri" w:cs="Calibri"/>
        </w:rPr>
      </w:pPr>
      <m:oMathPara>
        <m:oMath>
          <m:sSub>
            <m:sSubPr>
              <m:ctrlPr>
                <w:rPr>
                  <w:rFonts w:ascii="Cambria Math" w:hAnsi="Cambria Math" w:cs="Calibri"/>
                  <w:i/>
                </w:rPr>
              </m:ctrlPr>
            </m:sSubPr>
            <m:e>
              <m:r>
                <w:rPr>
                  <w:rFonts w:ascii="Cambria Math" w:hAnsi="Cambria Math" w:cs="Calibri"/>
                </w:rPr>
                <m:t>O</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direct</m:t>
                      </m:r>
                    </m:e>
                  </m:d>
                </m:e>
              </m:d>
            </m:sub>
          </m:sSub>
          <m:r>
            <w:rPr>
              <w:rFonts w:ascii="Cambria Math" w:hAnsi="Cambria Math" w:cs="Calibri"/>
            </w:rPr>
            <m:t>⋅</m:t>
          </m:r>
          <m:sSub>
            <m:sSubPr>
              <m:ctrlPr>
                <w:rPr>
                  <w:rFonts w:ascii="Cambria Math" w:hAnsi="Cambria Math" w:cs="Calibri"/>
                  <w:i/>
                </w:rPr>
              </m:ctrlPr>
            </m:sSubPr>
            <m:e>
              <m:r>
                <w:rPr>
                  <w:rFonts w:ascii="Cambria Math" w:hAnsi="Cambria Math" w:cs="Calibri"/>
                </w:rPr>
                <m:t>w</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obs</m:t>
                      </m:r>
                    </m:e>
                  </m:d>
                </m:e>
              </m:d>
            </m:sub>
          </m:sSub>
          <m:r>
            <w:rPr>
              <w:rFonts w:ascii="Cambria Math" w:hAnsi="Cambria Math" w:cs="Calibri"/>
            </w:rPr>
            <m:t>⋅</m:t>
          </m:r>
          <m:sSub>
            <m:sSubPr>
              <m:ctrlPr>
                <w:rPr>
                  <w:rFonts w:ascii="Cambria Math" w:hAnsi="Cambria Math" w:cs="Calibri"/>
                  <w:i/>
                </w:rPr>
              </m:ctrlPr>
            </m:sSubPr>
            <m:e>
              <m:r>
                <w:rPr>
                  <w:rFonts w:ascii="Cambria Math" w:hAnsi="Cambria Math" w:cs="Calibri"/>
                </w:rPr>
                <m:t>R</m:t>
              </m:r>
            </m:e>
            <m:sub>
              <m:d>
                <m:dPr>
                  <m:begChr m:val="{"/>
                  <m:endChr m:val="}"/>
                  <m:ctrlPr>
                    <w:rPr>
                      <w:rFonts w:ascii="Cambria Math" w:hAnsi="Cambria Math" w:cs="Calibri"/>
                      <w:i/>
                    </w:rPr>
                  </m:ctrlPr>
                </m:dPr>
                <m:e>
                  <m:d>
                    <m:dPr>
                      <m:begChr m:val="{"/>
                      <m:endChr m:val="}"/>
                      <m:ctrlPr>
                        <w:rPr>
                          <w:rFonts w:ascii="Cambria Math" w:hAnsi="Cambria Math" w:cs="Calibri"/>
                          <w:i/>
                        </w:rPr>
                      </m:ctrlPr>
                    </m:dPr>
                    <m:e>
                      <m:r>
                        <w:rPr>
                          <w:rFonts w:ascii="Cambria Math" w:hAnsi="Cambria Math" w:cs="Calibri"/>
                        </w:rPr>
                        <m:t>obs</m:t>
                      </m:r>
                    </m:e>
                  </m:d>
                </m:e>
              </m:d>
            </m:sub>
          </m:sSub>
        </m:oMath>
      </m:oMathPara>
    </w:p>
    <w:p w14:paraId="52CC7E31" w14:textId="77777777" w:rsidR="00EB1A45" w:rsidRDefault="00EB1A45" w:rsidP="00316D0A">
      <w:pPr>
        <w:rPr>
          <w:rFonts w:ascii="Calibri" w:eastAsiaTheme="minorEastAsia" w:hAnsi="Calibri" w:cs="Calibri"/>
        </w:rPr>
      </w:pPr>
    </w:p>
    <w:p w14:paraId="421FA512" w14:textId="2CF3D8BE" w:rsidR="00EB1A45" w:rsidRPr="001A4B20" w:rsidRDefault="00EB1A45" w:rsidP="001A4B20">
      <w:pPr>
        <w:rPr>
          <w:rFonts w:ascii="Calibri" w:eastAsiaTheme="minorEastAsia" w:hAnsi="Calibri" w:cs="Calibri"/>
          <w:lang w:val="en-US"/>
        </w:rPr>
      </w:pPr>
      <w:r w:rsidRPr="001A4B20">
        <w:rPr>
          <w:rFonts w:ascii="Calibri" w:eastAsiaTheme="minorEastAsia" w:hAnsi="Calibri" w:cs="Calibri"/>
          <w:lang w:val="en-US"/>
        </w:rPr>
        <w:t xml:space="preserve">  </w:t>
      </w:r>
    </w:p>
    <w:p w14:paraId="6D450C89" w14:textId="77777777" w:rsidR="00EB1A45" w:rsidRDefault="00EB1A45" w:rsidP="00316D0A">
      <w:pPr>
        <w:rPr>
          <w:rFonts w:ascii="Calibri" w:eastAsiaTheme="minorEastAsia" w:hAnsi="Calibri" w:cs="Calibri"/>
          <w:lang w:val="en-US"/>
        </w:rPr>
      </w:pPr>
    </w:p>
    <w:p w14:paraId="46465085" w14:textId="77777777" w:rsidR="008B743C" w:rsidRPr="008B743C" w:rsidRDefault="008B743C" w:rsidP="008B743C">
      <w:pPr>
        <w:rPr>
          <w:rFonts w:ascii="Calibri" w:eastAsiaTheme="minorEastAsia" w:hAnsi="Calibri" w:cs="Calibri"/>
        </w:rPr>
      </w:pPr>
      <w:r w:rsidRPr="008B743C">
        <w:rPr>
          <w:rFonts w:ascii="Calibri" w:eastAsiaTheme="minorEastAsia" w:hAnsi="Calibri" w:cs="Calibri"/>
        </w:rPr>
        <w:pict w14:anchorId="36B7DA81">
          <v:rect id="_x0000_i1041" style="width:441.9pt;height:1.5pt" o:hralign="center" o:hrstd="t" o:hr="t" fillcolor="#a0a0a0" stroked="f"/>
        </w:pict>
      </w:r>
    </w:p>
    <w:p w14:paraId="128BC700" w14:textId="4F1286CA" w:rsidR="008B743C" w:rsidRPr="008B743C" w:rsidRDefault="008B743C" w:rsidP="008B743C">
      <w:pPr>
        <w:pStyle w:val="Heading3"/>
        <w:rPr>
          <w:rFonts w:eastAsiaTheme="minorEastAsia"/>
          <w:lang w:val="en-US"/>
        </w:rPr>
      </w:pPr>
      <w:bookmarkStart w:id="6" w:name="_Toc191888375"/>
      <w:r w:rsidRPr="008B743C">
        <w:rPr>
          <w:rFonts w:eastAsiaTheme="minorEastAsia"/>
          <w:lang w:val="en-US"/>
        </w:rPr>
        <w:t>3.</w:t>
      </w:r>
      <w:r>
        <w:rPr>
          <w:rFonts w:eastAsiaTheme="minorEastAsia"/>
          <w:lang w:val="en-US"/>
        </w:rPr>
        <w:t>5</w:t>
      </w:r>
      <w:r w:rsidRPr="008B743C">
        <w:rPr>
          <w:rFonts w:eastAsiaTheme="minorEastAsia"/>
          <w:lang w:val="en-US"/>
        </w:rPr>
        <w:t>. Response</w:t>
      </w:r>
      <w:bookmarkEnd w:id="6"/>
    </w:p>
    <w:p w14:paraId="175E05D2" w14:textId="77777777" w:rsidR="008B743C" w:rsidRPr="008B743C" w:rsidRDefault="008B743C" w:rsidP="008B743C">
      <w:pPr>
        <w:rPr>
          <w:rFonts w:ascii="Calibri" w:eastAsiaTheme="minorEastAsia" w:hAnsi="Calibri" w:cs="Calibri"/>
          <w:lang w:val="en-US"/>
        </w:rPr>
      </w:pPr>
      <w:r w:rsidRPr="008B743C">
        <w:rPr>
          <w:rFonts w:ascii="Calibri" w:eastAsiaTheme="minorEastAsia" w:hAnsi="Calibri" w:cs="Calibri"/>
          <w:lang w:val="en-US"/>
        </w:rPr>
        <w:t xml:space="preserve">Once the global risk index (a value between 0 and 1) is calculated, the application returns a response in </w:t>
      </w:r>
      <w:r w:rsidRPr="008B743C">
        <w:rPr>
          <w:rFonts w:ascii="Calibri" w:eastAsiaTheme="minorEastAsia" w:hAnsi="Calibri" w:cs="Calibri"/>
          <w:b/>
          <w:bCs/>
          <w:lang w:val="en-US"/>
        </w:rPr>
        <w:t>JSON format</w:t>
      </w:r>
      <w:r w:rsidRPr="008B743C">
        <w:rPr>
          <w:rFonts w:ascii="Calibri" w:eastAsiaTheme="minorEastAsia" w:hAnsi="Calibri" w:cs="Calibri"/>
          <w:lang w:val="en-US"/>
        </w:rPr>
        <w:t>, including:</w:t>
      </w:r>
    </w:p>
    <w:p w14:paraId="0D121352" w14:textId="77777777" w:rsidR="008B743C" w:rsidRPr="008B743C" w:rsidRDefault="008B743C" w:rsidP="008B743C">
      <w:pPr>
        <w:rPr>
          <w:rFonts w:ascii="Calibri" w:eastAsiaTheme="minorEastAsia" w:hAnsi="Calibri" w:cs="Calibri"/>
          <w:lang w:val="en-US"/>
        </w:rPr>
      </w:pPr>
      <w:r w:rsidRPr="008B743C">
        <w:rPr>
          <w:rFonts w:ascii="Calibri" w:eastAsiaTheme="minorEastAsia" w:hAnsi="Calibri" w:cs="Calibri"/>
          <w:lang w:val="en-US"/>
        </w:rPr>
        <w:t xml:space="preserve">• </w:t>
      </w:r>
      <w:r w:rsidRPr="008B743C">
        <w:rPr>
          <w:rFonts w:ascii="Calibri" w:eastAsiaTheme="minorEastAsia" w:hAnsi="Calibri" w:cs="Calibri"/>
          <w:b/>
          <w:bCs/>
          <w:lang w:val="en-US"/>
        </w:rPr>
        <w:t>CT data.</w:t>
      </w:r>
      <w:r w:rsidRPr="008B743C">
        <w:rPr>
          <w:rFonts w:ascii="Calibri" w:eastAsiaTheme="minorEastAsia" w:hAnsi="Calibri" w:cs="Calibri"/>
          <w:lang w:val="en-US"/>
        </w:rPr>
        <w:br/>
      </w:r>
    </w:p>
    <w:p w14:paraId="097BF5F4" w14:textId="77777777" w:rsidR="008B743C" w:rsidRPr="008B743C" w:rsidRDefault="008B743C" w:rsidP="008B743C">
      <w:pPr>
        <w:rPr>
          <w:rFonts w:ascii="Calibri" w:eastAsiaTheme="minorEastAsia" w:hAnsi="Calibri" w:cs="Calibri"/>
          <w:lang w:val="en-US"/>
        </w:rPr>
      </w:pPr>
      <w:r w:rsidRPr="008B743C">
        <w:rPr>
          <w:rFonts w:ascii="Calibri" w:eastAsiaTheme="minorEastAsia" w:hAnsi="Calibri" w:cs="Calibri"/>
          <w:lang w:val="en-US"/>
        </w:rPr>
        <w:t xml:space="preserve">• </w:t>
      </w:r>
      <w:r w:rsidRPr="008B743C">
        <w:rPr>
          <w:rFonts w:ascii="Calibri" w:eastAsiaTheme="minorEastAsia" w:hAnsi="Calibri" w:cs="Calibri"/>
          <w:b/>
          <w:bCs/>
          <w:lang w:val="en-US"/>
        </w:rPr>
        <w:t>Forecasted and accumulated precipitation values.</w:t>
      </w:r>
      <w:r w:rsidRPr="008B743C">
        <w:rPr>
          <w:rFonts w:ascii="Calibri" w:eastAsiaTheme="minorEastAsia" w:hAnsi="Calibri" w:cs="Calibri"/>
          <w:lang w:val="en-US"/>
        </w:rPr>
        <w:br/>
      </w:r>
    </w:p>
    <w:p w14:paraId="739737DA" w14:textId="77777777" w:rsidR="008B743C" w:rsidRPr="008B743C" w:rsidRDefault="008B743C" w:rsidP="008B743C">
      <w:pPr>
        <w:rPr>
          <w:rFonts w:ascii="Calibri" w:eastAsiaTheme="minorEastAsia" w:hAnsi="Calibri" w:cs="Calibri"/>
          <w:lang w:val="en-US"/>
        </w:rPr>
      </w:pPr>
      <w:r w:rsidRPr="008B743C">
        <w:rPr>
          <w:rFonts w:ascii="Calibri" w:eastAsiaTheme="minorEastAsia" w:hAnsi="Calibri" w:cs="Calibri"/>
          <w:lang w:val="en-US"/>
        </w:rPr>
        <w:t xml:space="preserve">• </w:t>
      </w:r>
      <w:r w:rsidRPr="008B743C">
        <w:rPr>
          <w:rFonts w:ascii="Calibri" w:eastAsiaTheme="minorEastAsia" w:hAnsi="Calibri" w:cs="Calibri"/>
          <w:b/>
          <w:bCs/>
          <w:lang w:val="en-US"/>
        </w:rPr>
        <w:t>Flood-prone area information.</w:t>
      </w:r>
      <w:r w:rsidRPr="008B743C">
        <w:rPr>
          <w:rFonts w:ascii="Calibri" w:eastAsiaTheme="minorEastAsia" w:hAnsi="Calibri" w:cs="Calibri"/>
          <w:lang w:val="en-US"/>
        </w:rPr>
        <w:br/>
      </w:r>
    </w:p>
    <w:p w14:paraId="0B469877" w14:textId="77777777" w:rsidR="008B743C" w:rsidRPr="008B743C" w:rsidRDefault="008B743C" w:rsidP="008B743C">
      <w:pPr>
        <w:rPr>
          <w:rFonts w:ascii="Calibri" w:eastAsiaTheme="minorEastAsia" w:hAnsi="Calibri" w:cs="Calibri"/>
          <w:lang w:val="en-US"/>
        </w:rPr>
      </w:pPr>
      <w:r w:rsidRPr="008B743C">
        <w:rPr>
          <w:rFonts w:ascii="Calibri" w:eastAsiaTheme="minorEastAsia" w:hAnsi="Calibri" w:cs="Calibri"/>
          <w:lang w:val="en-US"/>
        </w:rPr>
        <w:t xml:space="preserve">• </w:t>
      </w:r>
      <w:r w:rsidRPr="008B743C">
        <w:rPr>
          <w:rFonts w:ascii="Calibri" w:eastAsiaTheme="minorEastAsia" w:hAnsi="Calibri" w:cs="Calibri"/>
          <w:b/>
          <w:bCs/>
          <w:lang w:val="en-US"/>
        </w:rPr>
        <w:t>Intermediate values and the calculated global risk as a percentage out of 100.</w:t>
      </w:r>
    </w:p>
    <w:p w14:paraId="4978F7FA" w14:textId="77777777" w:rsidR="008B743C" w:rsidRPr="001A4B20" w:rsidRDefault="008B743C" w:rsidP="00316D0A">
      <w:pPr>
        <w:rPr>
          <w:rFonts w:ascii="Calibri" w:eastAsiaTheme="minorEastAsia" w:hAnsi="Calibri" w:cs="Calibri"/>
          <w:lang w:val="en-US"/>
        </w:rPr>
      </w:pPr>
    </w:p>
    <w:p w14:paraId="23301424" w14:textId="55630EC5" w:rsidR="00316D0A" w:rsidRPr="00A36CF0" w:rsidRDefault="00000000" w:rsidP="00316D0A">
      <w:pPr>
        <w:rPr>
          <w:rFonts w:ascii="Calibri" w:eastAsiaTheme="minorEastAsia" w:hAnsi="Calibri" w:cs="Calibri"/>
        </w:rPr>
      </w:pPr>
      <w:r>
        <w:rPr>
          <w:rFonts w:ascii="Calibri" w:hAnsi="Calibri" w:cs="Calibri"/>
        </w:rPr>
        <w:pict w14:anchorId="06816F24">
          <v:rect id="_x0000_i1029" style="width:0;height:1.5pt" o:hralign="center" o:hrstd="t" o:hr="t" fillcolor="#a0a0a0" stroked="f"/>
        </w:pict>
      </w:r>
    </w:p>
    <w:p w14:paraId="4AE49E56" w14:textId="1CB616AD" w:rsidR="00316D0A" w:rsidRPr="008B0C13" w:rsidRDefault="00316D0A" w:rsidP="006B734B">
      <w:pPr>
        <w:pStyle w:val="Heading3"/>
        <w:rPr>
          <w:lang w:val="en-US"/>
        </w:rPr>
      </w:pPr>
      <w:bookmarkStart w:id="7" w:name="_Toc191888374"/>
      <w:r w:rsidRPr="008B0C13">
        <w:rPr>
          <w:lang w:val="en-US"/>
        </w:rPr>
        <w:t>3.</w:t>
      </w:r>
      <w:r w:rsidR="008B743C">
        <w:rPr>
          <w:lang w:val="en-US"/>
        </w:rPr>
        <w:t>6</w:t>
      </w:r>
      <w:r w:rsidRPr="008B0C13">
        <w:rPr>
          <w:lang w:val="en-US"/>
        </w:rPr>
        <w:t xml:space="preserve">. </w:t>
      </w:r>
      <w:r w:rsidR="008B0C13" w:rsidRPr="008B0C13">
        <w:rPr>
          <w:lang w:val="en-US"/>
        </w:rPr>
        <w:t>Integration with LLM and Document Database</w:t>
      </w:r>
      <w:bookmarkEnd w:id="7"/>
    </w:p>
    <w:p w14:paraId="7B065040" w14:textId="77777777" w:rsidR="0011270C" w:rsidRDefault="0011270C" w:rsidP="00616087">
      <w:pPr>
        <w:rPr>
          <w:rFonts w:ascii="Calibri" w:hAnsi="Calibri" w:cs="Calibri"/>
          <w:lang w:val="en-US"/>
        </w:rPr>
      </w:pPr>
    </w:p>
    <w:p w14:paraId="3E34D9B7" w14:textId="77777777" w:rsidR="0011270C" w:rsidRDefault="0011270C" w:rsidP="00616087">
      <w:pPr>
        <w:rPr>
          <w:rFonts w:ascii="Calibri" w:hAnsi="Calibri" w:cs="Calibri"/>
          <w:lang w:val="en-US"/>
        </w:rPr>
      </w:pPr>
      <w:r w:rsidRPr="0011270C">
        <w:rPr>
          <w:rFonts w:ascii="Calibri" w:hAnsi="Calibri" w:cs="Calibri"/>
          <w:lang w:val="en-US"/>
        </w:rPr>
        <w:t>Once the flood risk has been calculated, and if it exceeds the minimum threshold (see section 4.1 Thresholds) and reaches a yellow risk level, the following processing flow is triggered to generate recommended actions based on Iberdrola’s response protocols:</w:t>
      </w:r>
      <w:r w:rsidRPr="0011270C">
        <w:rPr>
          <w:rFonts w:ascii="Calibri" w:hAnsi="Calibri" w:cs="Calibri"/>
          <w:lang w:val="en-US"/>
        </w:rPr>
        <w:br/>
      </w:r>
    </w:p>
    <w:p w14:paraId="475185E9" w14:textId="3C41AA73" w:rsidR="0011270C" w:rsidRDefault="0011270C" w:rsidP="00616087">
      <w:pPr>
        <w:rPr>
          <w:rFonts w:ascii="Calibri" w:hAnsi="Calibri" w:cs="Calibri"/>
          <w:lang w:val="en-US"/>
        </w:rPr>
      </w:pPr>
      <w:r w:rsidRPr="0011270C">
        <w:rPr>
          <w:rFonts w:ascii="Calibri" w:hAnsi="Calibri" w:cs="Calibri"/>
          <w:lang w:val="en-US"/>
        </w:rPr>
        <w:t>An Excel sheet provided by the company is accessed, containing specific preventive and reactive measures for a given Transformer Center (TC).</w:t>
      </w:r>
    </w:p>
    <w:p w14:paraId="351712DE" w14:textId="77777777" w:rsidR="0011270C" w:rsidRDefault="0011270C" w:rsidP="00616087">
      <w:pPr>
        <w:rPr>
          <w:rFonts w:ascii="Calibri" w:hAnsi="Calibri" w:cs="Calibri"/>
          <w:lang w:val="en-US"/>
        </w:rPr>
      </w:pPr>
      <w:r w:rsidRPr="0011270C">
        <w:rPr>
          <w:rFonts w:ascii="Calibri" w:hAnsi="Calibri" w:cs="Calibri"/>
          <w:lang w:val="en-US"/>
        </w:rPr>
        <w:lastRenderedPageBreak/>
        <w:br/>
        <w:t xml:space="preserve">If no specific actions are available for that TC, a </w:t>
      </w:r>
      <w:r w:rsidRPr="0011270C">
        <w:rPr>
          <w:rFonts w:ascii="Calibri" w:hAnsi="Calibri" w:cs="Calibri"/>
          <w:b/>
          <w:bCs/>
          <w:lang w:val="en-US"/>
        </w:rPr>
        <w:t xml:space="preserve">structured prompt </w:t>
      </w:r>
      <w:r w:rsidRPr="0011270C">
        <w:rPr>
          <w:rFonts w:ascii="Calibri" w:hAnsi="Calibri" w:cs="Calibri"/>
          <w:lang w:val="en-US"/>
        </w:rPr>
        <w:t>is sent to the LLM with:</w:t>
      </w:r>
    </w:p>
    <w:p w14:paraId="32E2B2FE" w14:textId="0C911674" w:rsidR="00616087" w:rsidRDefault="00616087" w:rsidP="00616087">
      <w:pPr>
        <w:rPr>
          <w:rFonts w:ascii="Calibri" w:hAnsi="Calibri" w:cs="Calibri"/>
          <w:lang w:val="en-US"/>
        </w:rPr>
      </w:pPr>
      <w:r w:rsidRPr="00616087">
        <w:rPr>
          <w:rFonts w:ascii="Calibri" w:hAnsi="Calibri" w:cs="Calibri"/>
          <w:lang w:val="en-US"/>
        </w:rPr>
        <w:t xml:space="preserve">A </w:t>
      </w:r>
      <w:r w:rsidRPr="00616087">
        <w:rPr>
          <w:rFonts w:ascii="Calibri" w:hAnsi="Calibri" w:cs="Calibri"/>
          <w:b/>
          <w:bCs/>
          <w:lang w:val="en-US"/>
        </w:rPr>
        <w:t>structured prompt</w:t>
      </w:r>
      <w:r w:rsidRPr="00616087">
        <w:rPr>
          <w:rFonts w:ascii="Calibri" w:hAnsi="Calibri" w:cs="Calibri"/>
          <w:lang w:val="en-US"/>
        </w:rPr>
        <w:t xml:space="preserve"> is sent to the </w:t>
      </w:r>
      <w:r w:rsidRPr="00616087">
        <w:rPr>
          <w:rFonts w:ascii="Calibri" w:hAnsi="Calibri" w:cs="Calibri"/>
          <w:b/>
          <w:bCs/>
          <w:lang w:val="en-US"/>
        </w:rPr>
        <w:t>LLM</w:t>
      </w:r>
      <w:r w:rsidRPr="00616087">
        <w:rPr>
          <w:rFonts w:ascii="Calibri" w:hAnsi="Calibri" w:cs="Calibri"/>
          <w:lang w:val="en-US"/>
        </w:rPr>
        <w:t>, including:</w:t>
      </w:r>
    </w:p>
    <w:p w14:paraId="02FB6142" w14:textId="77777777" w:rsid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CT location.</w:t>
      </w:r>
      <w:r w:rsidRPr="00616087">
        <w:rPr>
          <w:rFonts w:ascii="Calibri" w:hAnsi="Calibri" w:cs="Calibri"/>
          <w:lang w:val="en-US"/>
        </w:rPr>
        <w:br/>
      </w:r>
    </w:p>
    <w:p w14:paraId="296F1CD3" w14:textId="26B18300" w:rsid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Calculated risk index.</w:t>
      </w:r>
      <w:r w:rsidRPr="00616087">
        <w:rPr>
          <w:rFonts w:ascii="Calibri" w:hAnsi="Calibri" w:cs="Calibri"/>
          <w:lang w:val="en-US"/>
        </w:rPr>
        <w:br/>
      </w:r>
    </w:p>
    <w:p w14:paraId="19C1D76E" w14:textId="77777777" w:rsid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Contributing factors</w:t>
      </w:r>
      <w:r w:rsidRPr="00616087">
        <w:rPr>
          <w:rFonts w:ascii="Calibri" w:hAnsi="Calibri" w:cs="Calibri"/>
          <w:lang w:val="en-US"/>
        </w:rPr>
        <w:t xml:space="preserve"> (rain, water accumulation, flood-prone area, etc.).</w:t>
      </w:r>
      <w:r w:rsidRPr="00616087">
        <w:rPr>
          <w:rFonts w:ascii="Calibri" w:hAnsi="Calibri" w:cs="Calibri"/>
          <w:lang w:val="en-US"/>
        </w:rPr>
        <w:br/>
      </w:r>
    </w:p>
    <w:p w14:paraId="4159D604" w14:textId="00CED4AE" w:rsidR="00616087" w:rsidRP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A request to the LLM</w:t>
      </w:r>
      <w:r w:rsidRPr="00616087">
        <w:rPr>
          <w:rFonts w:ascii="Calibri" w:hAnsi="Calibri" w:cs="Calibri"/>
          <w:lang w:val="en-US"/>
        </w:rPr>
        <w:t xml:space="preserve"> to determine the appropriate alert type and any necessary preliminary actions.</w:t>
      </w:r>
    </w:p>
    <w:p w14:paraId="2E742E72" w14:textId="77777777" w:rsidR="00616087" w:rsidRPr="00616087" w:rsidRDefault="00616087" w:rsidP="00616087">
      <w:pPr>
        <w:rPr>
          <w:rFonts w:ascii="Calibri" w:hAnsi="Calibri" w:cs="Calibri"/>
          <w:b/>
          <w:bCs/>
          <w:lang w:val="en-US"/>
        </w:rPr>
      </w:pPr>
      <w:r w:rsidRPr="00616087">
        <w:rPr>
          <w:rFonts w:ascii="Calibri" w:hAnsi="Calibri" w:cs="Calibri"/>
          <w:b/>
          <w:bCs/>
          <w:lang w:val="en-US"/>
        </w:rPr>
        <w:t>Integration of the LLM with the Document Database</w:t>
      </w:r>
    </w:p>
    <w:p w14:paraId="1FE425DC" w14:textId="0E8D241E" w:rsidR="00616087" w:rsidRDefault="00616087" w:rsidP="00616087">
      <w:pPr>
        <w:rPr>
          <w:rFonts w:ascii="Calibri" w:hAnsi="Calibri" w:cs="Calibri"/>
          <w:lang w:val="en-US"/>
        </w:rPr>
      </w:pPr>
      <w:r w:rsidRPr="00616087">
        <w:rPr>
          <w:rFonts w:ascii="Calibri" w:hAnsi="Calibri" w:cs="Calibri"/>
          <w:lang w:val="en-US"/>
        </w:rPr>
        <w:t xml:space="preserve">The </w:t>
      </w:r>
      <w:r w:rsidRPr="00616087">
        <w:rPr>
          <w:rFonts w:ascii="Calibri" w:hAnsi="Calibri" w:cs="Calibri"/>
          <w:b/>
          <w:bCs/>
          <w:lang w:val="en-US"/>
        </w:rPr>
        <w:t>Iberdrola technical and operational documentation database</w:t>
      </w:r>
      <w:r w:rsidRPr="00616087">
        <w:rPr>
          <w:rFonts w:ascii="Calibri" w:hAnsi="Calibri" w:cs="Calibri"/>
          <w:lang w:val="en-US"/>
        </w:rPr>
        <w:t xml:space="preserve"> is queried to retrieve:</w:t>
      </w:r>
    </w:p>
    <w:p w14:paraId="28E2A6B9" w14:textId="38EAB9BC" w:rsidR="00616087" w:rsidRDefault="00616087" w:rsidP="00616087">
      <w:pPr>
        <w:ind w:firstLine="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Preventive protocols</w:t>
      </w:r>
      <w:r w:rsidRPr="00616087">
        <w:rPr>
          <w:rFonts w:ascii="Calibri" w:hAnsi="Calibri" w:cs="Calibri"/>
          <w:lang w:val="en-US"/>
        </w:rPr>
        <w:t xml:space="preserve"> for flooding based on the specific type of installation.</w:t>
      </w:r>
      <w:r w:rsidRPr="00616087">
        <w:rPr>
          <w:rFonts w:ascii="Calibri" w:hAnsi="Calibri" w:cs="Calibri"/>
          <w:lang w:val="en-US"/>
        </w:rPr>
        <w:br/>
      </w:r>
    </w:p>
    <w:p w14:paraId="3A26A0D5" w14:textId="72E07B2F" w:rsidR="00616087" w:rsidRP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Emergency procedures</w:t>
      </w:r>
      <w:r w:rsidRPr="00616087">
        <w:rPr>
          <w:rFonts w:ascii="Calibri" w:hAnsi="Calibri" w:cs="Calibri"/>
          <w:lang w:val="en-US"/>
        </w:rPr>
        <w:t xml:space="preserve"> in case the CT is affected.</w:t>
      </w:r>
    </w:p>
    <w:p w14:paraId="439403E6" w14:textId="57AF5968" w:rsidR="00616087" w:rsidRDefault="00616087" w:rsidP="00616087">
      <w:pPr>
        <w:rPr>
          <w:rFonts w:ascii="Calibri" w:hAnsi="Calibri" w:cs="Calibri"/>
          <w:lang w:val="en-US"/>
        </w:rPr>
      </w:pPr>
      <w:r w:rsidRPr="00616087">
        <w:rPr>
          <w:rFonts w:ascii="Calibri" w:hAnsi="Calibri" w:cs="Calibri"/>
          <w:lang w:val="en-US"/>
        </w:rPr>
        <w:t xml:space="preserve">The document database returns relevant information to the </w:t>
      </w:r>
      <w:r w:rsidRPr="00616087">
        <w:rPr>
          <w:rFonts w:ascii="Calibri" w:hAnsi="Calibri" w:cs="Calibri"/>
          <w:b/>
          <w:bCs/>
          <w:lang w:val="en-US"/>
        </w:rPr>
        <w:t>LLM</w:t>
      </w:r>
      <w:r w:rsidRPr="00616087">
        <w:rPr>
          <w:rFonts w:ascii="Calibri" w:hAnsi="Calibri" w:cs="Calibri"/>
          <w:lang w:val="en-US"/>
        </w:rPr>
        <w:t xml:space="preserve">, allowing it to configure the </w:t>
      </w:r>
      <w:r w:rsidRPr="00616087">
        <w:rPr>
          <w:rFonts w:ascii="Calibri" w:hAnsi="Calibri" w:cs="Calibri"/>
          <w:b/>
          <w:bCs/>
          <w:lang w:val="en-US"/>
        </w:rPr>
        <w:t>Action Plan</w:t>
      </w:r>
      <w:r w:rsidRPr="00616087">
        <w:rPr>
          <w:rFonts w:ascii="Calibri" w:hAnsi="Calibri" w:cs="Calibri"/>
          <w:lang w:val="en-US"/>
        </w:rPr>
        <w:t>, which includes:</w:t>
      </w:r>
    </w:p>
    <w:p w14:paraId="135E00C3" w14:textId="77777777" w:rsid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Preventive actions:</w:t>
      </w:r>
      <w:r w:rsidRPr="00616087">
        <w:rPr>
          <w:rFonts w:ascii="Calibri" w:hAnsi="Calibri" w:cs="Calibri"/>
          <w:lang w:val="en-US"/>
        </w:rPr>
        <w:t xml:space="preserve"> Measures to take before flooding occurs.</w:t>
      </w:r>
      <w:r w:rsidRPr="00616087">
        <w:rPr>
          <w:rFonts w:ascii="Calibri" w:hAnsi="Calibri" w:cs="Calibri"/>
          <w:lang w:val="en-US"/>
        </w:rPr>
        <w:br/>
      </w:r>
    </w:p>
    <w:p w14:paraId="2C71E25D" w14:textId="206665D9" w:rsidR="00616087" w:rsidRP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Reactive actions:</w:t>
      </w:r>
      <w:r w:rsidRPr="00616087">
        <w:rPr>
          <w:rFonts w:ascii="Calibri" w:hAnsi="Calibri" w:cs="Calibri"/>
          <w:lang w:val="en-US"/>
        </w:rPr>
        <w:t xml:space="preserve"> Procedures to follow in case the CT is flooded.</w:t>
      </w:r>
    </w:p>
    <w:p w14:paraId="4AAC4966" w14:textId="77777777" w:rsidR="00316D0A" w:rsidRPr="00316D0A" w:rsidRDefault="00000000" w:rsidP="00316D0A">
      <w:pPr>
        <w:rPr>
          <w:rFonts w:ascii="Calibri" w:hAnsi="Calibri" w:cs="Calibri"/>
        </w:rPr>
      </w:pPr>
      <w:r>
        <w:rPr>
          <w:rFonts w:ascii="Calibri" w:hAnsi="Calibri" w:cs="Calibri"/>
        </w:rPr>
        <w:pict w14:anchorId="025F2D1F">
          <v:rect id="_x0000_i1031" style="width:0;height:1.5pt" o:hralign="center" o:hrstd="t" o:hr="t" fillcolor="#a0a0a0" stroked="f"/>
        </w:pict>
      </w:r>
    </w:p>
    <w:p w14:paraId="4E88AF89" w14:textId="1C1F9032" w:rsidR="00316D0A" w:rsidRPr="009047A1" w:rsidRDefault="00316D0A" w:rsidP="006B734B">
      <w:pPr>
        <w:pStyle w:val="Heading3"/>
        <w:rPr>
          <w:lang w:val="en-US"/>
        </w:rPr>
      </w:pPr>
      <w:bookmarkStart w:id="8" w:name="_Toc191888376"/>
      <w:r w:rsidRPr="009047A1">
        <w:rPr>
          <w:lang w:val="en-US"/>
        </w:rPr>
        <w:t xml:space="preserve">3.7. </w:t>
      </w:r>
      <w:r w:rsidR="008B0C13" w:rsidRPr="009047A1">
        <w:rPr>
          <w:lang w:val="en-US"/>
        </w:rPr>
        <w:t>Output</w:t>
      </w:r>
      <w:bookmarkEnd w:id="8"/>
    </w:p>
    <w:p w14:paraId="65409290" w14:textId="77777777" w:rsidR="00616087" w:rsidRDefault="00616087" w:rsidP="00616087">
      <w:pPr>
        <w:rPr>
          <w:rFonts w:ascii="Calibri" w:hAnsi="Calibri" w:cs="Calibri"/>
          <w:lang w:val="en-US"/>
        </w:rPr>
      </w:pPr>
      <w:r w:rsidRPr="00616087">
        <w:rPr>
          <w:rFonts w:ascii="Calibri" w:hAnsi="Calibri" w:cs="Calibri"/>
          <w:lang w:val="en-US"/>
        </w:rPr>
        <w:t xml:space="preserve">A web interface will display a </w:t>
      </w:r>
      <w:r w:rsidRPr="00616087">
        <w:rPr>
          <w:rFonts w:ascii="Calibri" w:hAnsi="Calibri" w:cs="Calibri"/>
          <w:b/>
          <w:bCs/>
          <w:lang w:val="en-US"/>
        </w:rPr>
        <w:t>map of Spain</w:t>
      </w:r>
      <w:r w:rsidRPr="00616087">
        <w:rPr>
          <w:rFonts w:ascii="Calibri" w:hAnsi="Calibri" w:cs="Calibri"/>
          <w:lang w:val="en-US"/>
        </w:rPr>
        <w:t>, allowing users to select:</w:t>
      </w:r>
    </w:p>
    <w:p w14:paraId="5497D46B" w14:textId="1BB3D2C1" w:rsid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CTs</w:t>
      </w:r>
      <w:r w:rsidR="008B743C">
        <w:rPr>
          <w:rFonts w:ascii="Calibri" w:hAnsi="Calibri" w:cs="Calibri"/>
          <w:b/>
          <w:bCs/>
          <w:lang w:val="en-US"/>
        </w:rPr>
        <w:t xml:space="preserve"> names, characteristics, and locations</w:t>
      </w:r>
      <w:r w:rsidRPr="00616087">
        <w:rPr>
          <w:rFonts w:ascii="Calibri" w:hAnsi="Calibri" w:cs="Calibri"/>
          <w:b/>
          <w:bCs/>
          <w:lang w:val="en-US"/>
        </w:rPr>
        <w:t>.</w:t>
      </w:r>
      <w:r w:rsidRPr="00616087">
        <w:rPr>
          <w:rFonts w:ascii="Calibri" w:hAnsi="Calibri" w:cs="Calibri"/>
          <w:lang w:val="en-US"/>
        </w:rPr>
        <w:br/>
      </w:r>
    </w:p>
    <w:p w14:paraId="7060FDF4" w14:textId="685C7A74" w:rsid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Flood risk</w:t>
      </w:r>
      <w:r w:rsidRPr="00616087">
        <w:rPr>
          <w:rFonts w:ascii="Calibri" w:hAnsi="Calibri" w:cs="Calibri"/>
          <w:lang w:val="en-US"/>
        </w:rPr>
        <w:t xml:space="preserve"> </w:t>
      </w:r>
      <w:r w:rsidR="008B743C">
        <w:rPr>
          <w:rFonts w:ascii="Calibri" w:hAnsi="Calibri" w:cs="Calibri"/>
          <w:lang w:val="en-US"/>
        </w:rPr>
        <w:t xml:space="preserve">value </w:t>
      </w:r>
      <w:r w:rsidRPr="00616087">
        <w:rPr>
          <w:rFonts w:ascii="Calibri" w:hAnsi="Calibri" w:cs="Calibri"/>
          <w:lang w:val="en-US"/>
        </w:rPr>
        <w:t>for a CT on a specific date</w:t>
      </w:r>
      <w:r w:rsidR="008B743C">
        <w:rPr>
          <w:rFonts w:ascii="Calibri" w:hAnsi="Calibri" w:cs="Calibri"/>
          <w:lang w:val="en-US"/>
        </w:rPr>
        <w:t xml:space="preserve">, </w:t>
      </w:r>
      <w:r w:rsidR="001F4F82">
        <w:rPr>
          <w:rFonts w:ascii="Calibri" w:hAnsi="Calibri" w:cs="Calibri"/>
          <w:lang w:val="en-US"/>
        </w:rPr>
        <w:t>represented</w:t>
      </w:r>
      <w:r w:rsidR="008B743C">
        <w:rPr>
          <w:rFonts w:ascii="Calibri" w:hAnsi="Calibri" w:cs="Calibri"/>
          <w:lang w:val="en-US"/>
        </w:rPr>
        <w:t xml:space="preserve"> </w:t>
      </w:r>
      <w:r w:rsidR="001F4F82">
        <w:rPr>
          <w:rFonts w:ascii="Calibri" w:hAnsi="Calibri" w:cs="Calibri"/>
          <w:lang w:val="en-US"/>
        </w:rPr>
        <w:t>by</w:t>
      </w:r>
      <w:r w:rsidR="008B743C">
        <w:rPr>
          <w:rFonts w:ascii="Calibri" w:hAnsi="Calibri" w:cs="Calibri"/>
          <w:lang w:val="en-US"/>
        </w:rPr>
        <w:t xml:space="preserve"> a risk color.</w:t>
      </w:r>
      <w:r w:rsidRPr="00616087">
        <w:rPr>
          <w:rFonts w:ascii="Calibri" w:hAnsi="Calibri" w:cs="Calibri"/>
          <w:lang w:val="en-US"/>
        </w:rPr>
        <w:br/>
      </w:r>
    </w:p>
    <w:p w14:paraId="70EE6BAE" w14:textId="77777777" w:rsidR="00616087" w:rsidRDefault="00616087" w:rsidP="00616087">
      <w:pPr>
        <w:ind w:left="708"/>
        <w:rPr>
          <w:rFonts w:ascii="Calibri" w:hAnsi="Calibri" w:cs="Calibri"/>
          <w:lang w:val="en-US"/>
        </w:rPr>
      </w:pPr>
      <w:r w:rsidRPr="00616087">
        <w:rPr>
          <w:rFonts w:ascii="Calibri" w:hAnsi="Calibri" w:cs="Calibri"/>
          <w:lang w:val="en-US"/>
        </w:rPr>
        <w:t xml:space="preserve">• </w:t>
      </w:r>
      <w:r w:rsidRPr="00616087">
        <w:rPr>
          <w:rFonts w:ascii="Calibri" w:hAnsi="Calibri" w:cs="Calibri"/>
          <w:b/>
          <w:bCs/>
          <w:lang w:val="en-US"/>
        </w:rPr>
        <w:t>Intermediate values considered</w:t>
      </w:r>
      <w:r w:rsidRPr="00616087">
        <w:rPr>
          <w:rFonts w:ascii="Calibri" w:hAnsi="Calibri" w:cs="Calibri"/>
          <w:lang w:val="en-US"/>
        </w:rPr>
        <w:t xml:space="preserve"> (flood-prone area, type of installation, etc.).</w:t>
      </w:r>
      <w:r w:rsidRPr="00616087">
        <w:rPr>
          <w:rFonts w:ascii="Calibri" w:hAnsi="Calibri" w:cs="Calibri"/>
          <w:lang w:val="en-US"/>
        </w:rPr>
        <w:br/>
      </w:r>
    </w:p>
    <w:p w14:paraId="79438C3B" w14:textId="53FB7618" w:rsidR="00616087" w:rsidRDefault="00616087" w:rsidP="00616087">
      <w:pPr>
        <w:ind w:left="708"/>
        <w:rPr>
          <w:rFonts w:ascii="Calibri" w:hAnsi="Calibri" w:cs="Calibri"/>
          <w:lang w:val="en-US"/>
        </w:rPr>
      </w:pPr>
      <w:r w:rsidRPr="00616087">
        <w:rPr>
          <w:rFonts w:ascii="Calibri" w:hAnsi="Calibri" w:cs="Calibri"/>
          <w:lang w:val="en-US"/>
        </w:rPr>
        <w:lastRenderedPageBreak/>
        <w:t xml:space="preserve">• </w:t>
      </w:r>
      <w:r w:rsidRPr="00616087">
        <w:rPr>
          <w:rFonts w:ascii="Calibri" w:hAnsi="Calibri" w:cs="Calibri"/>
          <w:b/>
          <w:bCs/>
          <w:lang w:val="en-US"/>
        </w:rPr>
        <w:t>Information retrieved from the LLM</w:t>
      </w:r>
      <w:r w:rsidRPr="00616087">
        <w:rPr>
          <w:rFonts w:ascii="Calibri" w:hAnsi="Calibri" w:cs="Calibri"/>
          <w:lang w:val="en-US"/>
        </w:rPr>
        <w:t>, including work orders and action recommendations.</w:t>
      </w:r>
    </w:p>
    <w:p w14:paraId="1772A3B0" w14:textId="3648D2E2" w:rsidR="008B743C" w:rsidRPr="008B743C" w:rsidRDefault="008B743C" w:rsidP="008B743C">
      <w:pPr>
        <w:pStyle w:val="ListParagraph"/>
        <w:numPr>
          <w:ilvl w:val="0"/>
          <w:numId w:val="44"/>
        </w:numPr>
        <w:rPr>
          <w:rFonts w:ascii="Calibri" w:hAnsi="Calibri" w:cs="Calibri"/>
          <w:lang w:val="en-US"/>
        </w:rPr>
      </w:pPr>
      <w:r w:rsidRPr="008B743C">
        <w:rPr>
          <w:rFonts w:ascii="Calibri" w:hAnsi="Calibri" w:cs="Calibri"/>
          <w:b/>
          <w:bCs/>
          <w:lang w:val="en-US"/>
        </w:rPr>
        <w:t>Charts</w:t>
      </w:r>
      <w:r w:rsidRPr="008B743C">
        <w:rPr>
          <w:rFonts w:ascii="Calibri" w:hAnsi="Calibri" w:cs="Calibri"/>
          <w:lang w:val="en-US"/>
        </w:rPr>
        <w:t xml:space="preserve"> showing risk evolution</w:t>
      </w:r>
      <w:r w:rsidR="001F4F82">
        <w:rPr>
          <w:rFonts w:ascii="Calibri" w:hAnsi="Calibri" w:cs="Calibri"/>
          <w:lang w:val="en-US"/>
        </w:rPr>
        <w:t xml:space="preserve"> over time</w:t>
      </w:r>
      <w:r w:rsidRPr="008B743C">
        <w:rPr>
          <w:rFonts w:ascii="Calibri" w:hAnsi="Calibri" w:cs="Calibri"/>
          <w:lang w:val="en-US"/>
        </w:rPr>
        <w:t xml:space="preserve"> for a CT</w:t>
      </w:r>
    </w:p>
    <w:p w14:paraId="05555BB8" w14:textId="77777777" w:rsidR="00316D0A" w:rsidRPr="00316D0A" w:rsidRDefault="00000000" w:rsidP="00316D0A">
      <w:pPr>
        <w:rPr>
          <w:rFonts w:ascii="Calibri" w:hAnsi="Calibri" w:cs="Calibri"/>
        </w:rPr>
      </w:pPr>
      <w:r>
        <w:rPr>
          <w:rFonts w:ascii="Calibri" w:hAnsi="Calibri" w:cs="Calibri"/>
        </w:rPr>
        <w:pict w14:anchorId="1852B470">
          <v:rect id="_x0000_i1032" style="width:0;height:1.5pt" o:hralign="center" o:hrstd="t" o:hr="t" fillcolor="#a0a0a0" stroked="f"/>
        </w:pict>
      </w:r>
    </w:p>
    <w:p w14:paraId="36AC65BB" w14:textId="1808B004" w:rsidR="00316D0A" w:rsidRPr="00E37FD1" w:rsidRDefault="00316D0A" w:rsidP="006B734B">
      <w:pPr>
        <w:pStyle w:val="Heading1"/>
        <w:rPr>
          <w:lang w:val="en-US"/>
        </w:rPr>
      </w:pPr>
      <w:bookmarkStart w:id="9" w:name="_Toc191888377"/>
      <w:r w:rsidRPr="00E37FD1">
        <w:rPr>
          <w:lang w:val="en-US"/>
        </w:rPr>
        <w:t xml:space="preserve">4. </w:t>
      </w:r>
      <w:r w:rsidR="008B0C13" w:rsidRPr="00E37FD1">
        <w:rPr>
          <w:lang w:val="en-US"/>
        </w:rPr>
        <w:t>Assumptions and Configurable Parameters</w:t>
      </w:r>
      <w:bookmarkEnd w:id="9"/>
    </w:p>
    <w:p w14:paraId="0EC78024" w14:textId="31262DF2" w:rsidR="00316D0A" w:rsidRPr="00E37FD1" w:rsidRDefault="00316D0A" w:rsidP="006B734B">
      <w:pPr>
        <w:pStyle w:val="Heading3"/>
        <w:rPr>
          <w:lang w:val="en-US"/>
        </w:rPr>
      </w:pPr>
      <w:bookmarkStart w:id="10" w:name="_Toc191888378"/>
      <w:r w:rsidRPr="00E37FD1">
        <w:rPr>
          <w:lang w:val="en-US"/>
        </w:rPr>
        <w:t xml:space="preserve">4.1. </w:t>
      </w:r>
      <w:r w:rsidR="00E37FD1" w:rsidRPr="00E37FD1">
        <w:rPr>
          <w:lang w:val="en-US"/>
        </w:rPr>
        <w:t>Thresholds and Weights</w:t>
      </w:r>
      <w:bookmarkEnd w:id="10"/>
    </w:p>
    <w:p w14:paraId="6874BB41" w14:textId="77777777" w:rsidR="00616087" w:rsidRPr="00E37FD1" w:rsidRDefault="00616087" w:rsidP="00616087">
      <w:pPr>
        <w:rPr>
          <w:lang w:val="en-US"/>
        </w:rPr>
      </w:pPr>
    </w:p>
    <w:p w14:paraId="19711E7A" w14:textId="2A6AE6BE" w:rsidR="00616087" w:rsidRPr="00616087" w:rsidRDefault="00616087" w:rsidP="00616087">
      <w:pPr>
        <w:rPr>
          <w:rFonts w:ascii="Calibri" w:hAnsi="Calibri" w:cs="Calibri"/>
          <w:b/>
          <w:bCs/>
        </w:rPr>
      </w:pPr>
      <w:r w:rsidRPr="00616087">
        <w:rPr>
          <w:rFonts w:ascii="Calibri" w:hAnsi="Calibri" w:cs="Calibri"/>
          <w:b/>
          <w:bCs/>
        </w:rPr>
        <w:t xml:space="preserve">Rain </w:t>
      </w:r>
      <w:proofErr w:type="spellStart"/>
      <w:r w:rsidRPr="00616087">
        <w:rPr>
          <w:rFonts w:ascii="Calibri" w:hAnsi="Calibri" w:cs="Calibri"/>
          <w:b/>
          <w:bCs/>
        </w:rPr>
        <w:t>Forecast</w:t>
      </w:r>
      <w:proofErr w:type="spellEnd"/>
      <w:r w:rsidR="001F4F82">
        <w:rPr>
          <w:rFonts w:ascii="Calibri" w:hAnsi="Calibri" w:cs="Calibri"/>
          <w:b/>
          <w:bCs/>
        </w:rPr>
        <w:t xml:space="preserve"> (</w:t>
      </w:r>
      <w:proofErr w:type="spellStart"/>
      <w:r w:rsidR="001F4F82">
        <w:rPr>
          <w:rFonts w:ascii="Calibri" w:hAnsi="Calibri" w:cs="Calibri"/>
          <w:b/>
          <w:bCs/>
        </w:rPr>
        <w:t>current</w:t>
      </w:r>
      <w:proofErr w:type="spellEnd"/>
      <w:r w:rsidR="001F4F82">
        <w:rPr>
          <w:rFonts w:ascii="Calibri" w:hAnsi="Calibri" w:cs="Calibri"/>
          <w:b/>
          <w:bCs/>
        </w:rPr>
        <w:t>)</w:t>
      </w:r>
      <w:r w:rsidRPr="00616087">
        <w:rPr>
          <w:rFonts w:ascii="Calibri" w:hAnsi="Calibri" w:cs="Calibri"/>
          <w:b/>
          <w:bCs/>
        </w:rPr>
        <w:t>:</w:t>
      </w:r>
    </w:p>
    <w:p w14:paraId="23AAF6A1" w14:textId="77777777" w:rsidR="00616087" w:rsidRPr="00616087" w:rsidRDefault="00616087" w:rsidP="00616087">
      <w:pPr>
        <w:numPr>
          <w:ilvl w:val="0"/>
          <w:numId w:val="31"/>
        </w:numPr>
        <w:rPr>
          <w:rFonts w:ascii="Calibri" w:hAnsi="Calibri" w:cs="Calibri"/>
          <w:lang w:val="en-US"/>
        </w:rPr>
      </w:pPr>
      <w:r w:rsidRPr="00616087">
        <w:rPr>
          <w:rFonts w:ascii="Calibri" w:hAnsi="Calibri" w:cs="Calibri"/>
          <w:b/>
          <w:bCs/>
          <w:lang w:val="en-US"/>
        </w:rPr>
        <w:t>Threshold:</w:t>
      </w:r>
      <w:r w:rsidRPr="00616087">
        <w:rPr>
          <w:rFonts w:ascii="Calibri" w:hAnsi="Calibri" w:cs="Calibri"/>
          <w:lang w:val="en-US"/>
        </w:rPr>
        <w:t xml:space="preserve"> 40 mm (values equal to or greater indicate maximum risk).</w:t>
      </w:r>
    </w:p>
    <w:p w14:paraId="70C43CD3" w14:textId="77777777" w:rsidR="00616087" w:rsidRPr="00616087" w:rsidRDefault="00616087" w:rsidP="00616087">
      <w:pPr>
        <w:numPr>
          <w:ilvl w:val="0"/>
          <w:numId w:val="31"/>
        </w:numPr>
        <w:rPr>
          <w:rFonts w:ascii="Calibri" w:hAnsi="Calibri" w:cs="Calibri"/>
          <w:b/>
          <w:bCs/>
          <w:lang w:val="en-US"/>
        </w:rPr>
      </w:pPr>
      <w:r w:rsidRPr="00616087">
        <w:rPr>
          <w:rFonts w:ascii="Calibri" w:hAnsi="Calibri" w:cs="Calibri"/>
          <w:b/>
          <w:bCs/>
          <w:lang w:val="en-US"/>
        </w:rPr>
        <w:t>Weight:</w:t>
      </w:r>
      <w:r w:rsidRPr="00616087">
        <w:rPr>
          <w:rFonts w:ascii="Calibri" w:hAnsi="Calibri" w:cs="Calibri"/>
          <w:lang w:val="en-US"/>
        </w:rPr>
        <w:t xml:space="preserve"> 0.5 within the overall precipitation calculation.</w:t>
      </w:r>
    </w:p>
    <w:p w14:paraId="06F97935" w14:textId="77777777" w:rsidR="00616087" w:rsidRPr="009047A1" w:rsidRDefault="00616087" w:rsidP="00616087">
      <w:pPr>
        <w:rPr>
          <w:rFonts w:ascii="Calibri" w:hAnsi="Calibri" w:cs="Calibri"/>
          <w:b/>
          <w:bCs/>
          <w:lang w:val="en-US"/>
        </w:rPr>
      </w:pPr>
    </w:p>
    <w:p w14:paraId="335E6FA7" w14:textId="61409DFA" w:rsidR="00616087" w:rsidRPr="00616087" w:rsidRDefault="00616087" w:rsidP="00616087">
      <w:pPr>
        <w:rPr>
          <w:rFonts w:ascii="Calibri" w:hAnsi="Calibri" w:cs="Calibri"/>
          <w:b/>
          <w:bCs/>
        </w:rPr>
      </w:pPr>
      <w:proofErr w:type="spellStart"/>
      <w:r w:rsidRPr="00616087">
        <w:rPr>
          <w:rFonts w:ascii="Calibri" w:hAnsi="Calibri" w:cs="Calibri"/>
          <w:b/>
          <w:bCs/>
        </w:rPr>
        <w:t>Accumulated</w:t>
      </w:r>
      <w:proofErr w:type="spellEnd"/>
      <w:r w:rsidRPr="00616087">
        <w:rPr>
          <w:rFonts w:ascii="Calibri" w:hAnsi="Calibri" w:cs="Calibri"/>
          <w:b/>
          <w:bCs/>
        </w:rPr>
        <w:t xml:space="preserve"> </w:t>
      </w:r>
      <w:proofErr w:type="spellStart"/>
      <w:r w:rsidRPr="00616087">
        <w:rPr>
          <w:rFonts w:ascii="Calibri" w:hAnsi="Calibri" w:cs="Calibri"/>
          <w:b/>
          <w:bCs/>
        </w:rPr>
        <w:t>Rainfall</w:t>
      </w:r>
      <w:proofErr w:type="spellEnd"/>
      <w:r w:rsidRPr="00616087">
        <w:rPr>
          <w:rFonts w:ascii="Calibri" w:hAnsi="Calibri" w:cs="Calibri"/>
          <w:b/>
          <w:bCs/>
        </w:rPr>
        <w:t xml:space="preserve"> (48 </w:t>
      </w:r>
      <w:proofErr w:type="spellStart"/>
      <w:r w:rsidRPr="00616087">
        <w:rPr>
          <w:rFonts w:ascii="Calibri" w:hAnsi="Calibri" w:cs="Calibri"/>
          <w:b/>
          <w:bCs/>
        </w:rPr>
        <w:t>hours</w:t>
      </w:r>
      <w:proofErr w:type="spellEnd"/>
      <w:r w:rsidRPr="00616087">
        <w:rPr>
          <w:rFonts w:ascii="Calibri" w:hAnsi="Calibri" w:cs="Calibri"/>
          <w:b/>
          <w:bCs/>
        </w:rPr>
        <w:t>):</w:t>
      </w:r>
    </w:p>
    <w:p w14:paraId="48EE1D07" w14:textId="77777777" w:rsidR="00616087" w:rsidRPr="00616087" w:rsidRDefault="00616087" w:rsidP="00616087">
      <w:pPr>
        <w:numPr>
          <w:ilvl w:val="0"/>
          <w:numId w:val="32"/>
        </w:numPr>
        <w:rPr>
          <w:rFonts w:ascii="Calibri" w:hAnsi="Calibri" w:cs="Calibri"/>
          <w:b/>
          <w:bCs/>
          <w:lang w:val="en-US"/>
        </w:rPr>
      </w:pPr>
      <w:r w:rsidRPr="00616087">
        <w:rPr>
          <w:rFonts w:ascii="Calibri" w:hAnsi="Calibri" w:cs="Calibri"/>
          <w:b/>
          <w:bCs/>
          <w:lang w:val="en-US"/>
        </w:rPr>
        <w:t xml:space="preserve">Threshold: </w:t>
      </w:r>
      <w:r w:rsidRPr="00616087">
        <w:rPr>
          <w:rFonts w:ascii="Calibri" w:hAnsi="Calibri" w:cs="Calibri"/>
          <w:lang w:val="en-US"/>
        </w:rPr>
        <w:t>80 mm (values equal to or greater indicate maximum risk).</w:t>
      </w:r>
    </w:p>
    <w:p w14:paraId="72B0DB88" w14:textId="1DFBFB41" w:rsidR="00616087" w:rsidRDefault="00616087" w:rsidP="00616087">
      <w:pPr>
        <w:numPr>
          <w:ilvl w:val="0"/>
          <w:numId w:val="32"/>
        </w:numPr>
        <w:rPr>
          <w:rFonts w:ascii="Calibri" w:hAnsi="Calibri" w:cs="Calibri"/>
          <w:b/>
          <w:bCs/>
          <w:lang w:val="en-US"/>
        </w:rPr>
      </w:pPr>
      <w:r w:rsidRPr="00616087">
        <w:rPr>
          <w:rFonts w:ascii="Calibri" w:hAnsi="Calibri" w:cs="Calibri"/>
          <w:b/>
          <w:bCs/>
          <w:lang w:val="en-US"/>
        </w:rPr>
        <w:t xml:space="preserve">Weight: </w:t>
      </w:r>
      <w:r w:rsidRPr="00616087">
        <w:rPr>
          <w:rFonts w:ascii="Calibri" w:hAnsi="Calibri" w:cs="Calibri"/>
          <w:lang w:val="en-US"/>
        </w:rPr>
        <w:t>0.5 within the overall precipitation calculation.</w:t>
      </w:r>
    </w:p>
    <w:p w14:paraId="1E836B46" w14:textId="77777777" w:rsidR="00616087" w:rsidRPr="00616087" w:rsidRDefault="00616087" w:rsidP="00616087">
      <w:pPr>
        <w:ind w:left="720"/>
        <w:rPr>
          <w:rFonts w:ascii="Calibri" w:hAnsi="Calibri" w:cs="Calibri"/>
          <w:b/>
          <w:bCs/>
          <w:lang w:val="en-US"/>
        </w:rPr>
      </w:pPr>
    </w:p>
    <w:p w14:paraId="325BE0BF" w14:textId="77777777" w:rsidR="00616087" w:rsidRPr="00616087" w:rsidRDefault="00616087" w:rsidP="00616087">
      <w:pPr>
        <w:rPr>
          <w:rFonts w:ascii="Calibri" w:hAnsi="Calibri" w:cs="Calibri"/>
          <w:b/>
          <w:bCs/>
        </w:rPr>
      </w:pPr>
      <w:r w:rsidRPr="00616087">
        <w:rPr>
          <w:rFonts w:ascii="Calibri" w:hAnsi="Calibri" w:cs="Calibri"/>
          <w:b/>
          <w:bCs/>
        </w:rPr>
        <w:t xml:space="preserve">Global </w:t>
      </w:r>
      <w:proofErr w:type="spellStart"/>
      <w:r w:rsidRPr="00616087">
        <w:rPr>
          <w:rFonts w:ascii="Calibri" w:hAnsi="Calibri" w:cs="Calibri"/>
          <w:b/>
          <w:bCs/>
        </w:rPr>
        <w:t>Precipitation</w:t>
      </w:r>
      <w:proofErr w:type="spellEnd"/>
      <w:r w:rsidRPr="00616087">
        <w:rPr>
          <w:rFonts w:ascii="Calibri" w:hAnsi="Calibri" w:cs="Calibri"/>
          <w:b/>
          <w:bCs/>
        </w:rPr>
        <w:t xml:space="preserve"> </w:t>
      </w:r>
      <w:proofErr w:type="spellStart"/>
      <w:r w:rsidRPr="00616087">
        <w:rPr>
          <w:rFonts w:ascii="Calibri" w:hAnsi="Calibri" w:cs="Calibri"/>
          <w:b/>
          <w:bCs/>
        </w:rPr>
        <w:t>Combination</w:t>
      </w:r>
      <w:proofErr w:type="spellEnd"/>
      <w:r w:rsidRPr="00616087">
        <w:rPr>
          <w:rFonts w:ascii="Calibri" w:hAnsi="Calibri" w:cs="Calibri"/>
          <w:b/>
          <w:bCs/>
        </w:rPr>
        <w:t>:</w:t>
      </w:r>
    </w:p>
    <w:p w14:paraId="09C9D063" w14:textId="77777777" w:rsidR="00616087" w:rsidRPr="00616087" w:rsidRDefault="00616087" w:rsidP="00616087">
      <w:pPr>
        <w:numPr>
          <w:ilvl w:val="0"/>
          <w:numId w:val="33"/>
        </w:numPr>
        <w:rPr>
          <w:rFonts w:ascii="Calibri" w:hAnsi="Calibri" w:cs="Calibri"/>
          <w:b/>
          <w:bCs/>
          <w:lang w:val="en-US"/>
        </w:rPr>
      </w:pPr>
      <w:r w:rsidRPr="00616087">
        <w:rPr>
          <w:rFonts w:ascii="Calibri" w:hAnsi="Calibri" w:cs="Calibri"/>
          <w:b/>
          <w:bCs/>
          <w:lang w:val="en-US"/>
        </w:rPr>
        <w:t>Total weight applied:</w:t>
      </w:r>
      <w:r w:rsidRPr="00616087">
        <w:rPr>
          <w:rFonts w:ascii="Calibri" w:hAnsi="Calibri" w:cs="Calibri"/>
          <w:lang w:val="en-US"/>
        </w:rPr>
        <w:t xml:space="preserve"> 60% for precipitation and 40% for flood-prone area information.</w:t>
      </w:r>
    </w:p>
    <w:p w14:paraId="33EFC8B2" w14:textId="77777777" w:rsidR="00616087" w:rsidRPr="009047A1" w:rsidRDefault="00616087" w:rsidP="00616087">
      <w:pPr>
        <w:rPr>
          <w:rFonts w:ascii="Calibri" w:hAnsi="Calibri" w:cs="Calibri"/>
          <w:b/>
          <w:bCs/>
          <w:lang w:val="en-US"/>
        </w:rPr>
      </w:pPr>
    </w:p>
    <w:p w14:paraId="1E4C2701" w14:textId="32B7100E" w:rsidR="00616087" w:rsidRPr="00616087" w:rsidRDefault="00616087" w:rsidP="00616087">
      <w:pPr>
        <w:rPr>
          <w:rFonts w:ascii="Calibri" w:hAnsi="Calibri" w:cs="Calibri"/>
          <w:b/>
          <w:bCs/>
        </w:rPr>
      </w:pPr>
      <w:proofErr w:type="spellStart"/>
      <w:r w:rsidRPr="00616087">
        <w:rPr>
          <w:rFonts w:ascii="Calibri" w:hAnsi="Calibri" w:cs="Calibri"/>
          <w:b/>
          <w:bCs/>
        </w:rPr>
        <w:t>Flood</w:t>
      </w:r>
      <w:proofErr w:type="spellEnd"/>
      <w:r w:rsidRPr="00616087">
        <w:rPr>
          <w:rFonts w:ascii="Calibri" w:hAnsi="Calibri" w:cs="Calibri"/>
          <w:b/>
          <w:bCs/>
        </w:rPr>
        <w:t xml:space="preserve">-Prone </w:t>
      </w:r>
      <w:proofErr w:type="spellStart"/>
      <w:r w:rsidRPr="00616087">
        <w:rPr>
          <w:rFonts w:ascii="Calibri" w:hAnsi="Calibri" w:cs="Calibri"/>
          <w:b/>
          <w:bCs/>
        </w:rPr>
        <w:t>Area</w:t>
      </w:r>
      <w:proofErr w:type="spellEnd"/>
      <w:r w:rsidRPr="00616087">
        <w:rPr>
          <w:rFonts w:ascii="Calibri" w:hAnsi="Calibri" w:cs="Calibri"/>
          <w:b/>
          <w:bCs/>
        </w:rPr>
        <w:t>:</w:t>
      </w:r>
    </w:p>
    <w:p w14:paraId="6A811E50" w14:textId="3B1DE6B7" w:rsidR="00616087" w:rsidRPr="00616087" w:rsidRDefault="00616087" w:rsidP="00616087">
      <w:pPr>
        <w:numPr>
          <w:ilvl w:val="0"/>
          <w:numId w:val="34"/>
        </w:numPr>
        <w:rPr>
          <w:rFonts w:ascii="Calibri" w:hAnsi="Calibri" w:cs="Calibri"/>
          <w:b/>
          <w:bCs/>
          <w:lang w:val="en-US"/>
        </w:rPr>
      </w:pPr>
      <w:r w:rsidRPr="00616087">
        <w:rPr>
          <w:rFonts w:ascii="Calibri" w:hAnsi="Calibri" w:cs="Calibri"/>
          <w:b/>
          <w:bCs/>
          <w:lang w:val="en-US"/>
        </w:rPr>
        <w:t>Water altitude threshold:</w:t>
      </w:r>
      <w:r w:rsidRPr="00616087">
        <w:rPr>
          <w:rFonts w:ascii="Calibri" w:hAnsi="Calibri" w:cs="Calibri"/>
          <w:lang w:val="en-US"/>
        </w:rPr>
        <w:t xml:space="preserve"> Maximum threshold</w:t>
      </w:r>
      <w:r>
        <w:rPr>
          <w:rFonts w:ascii="Calibri" w:hAnsi="Calibri" w:cs="Calibri"/>
          <w:lang w:val="en-US"/>
        </w:rPr>
        <w:t>:</w:t>
      </w:r>
      <w:r w:rsidRPr="00616087">
        <w:rPr>
          <w:rFonts w:ascii="Calibri" w:hAnsi="Calibri" w:cs="Calibri"/>
          <w:lang w:val="en-US"/>
        </w:rPr>
        <w:t xml:space="preserve"> </w:t>
      </w:r>
      <w:proofErr w:type="gramStart"/>
      <w:r w:rsidRPr="00616087">
        <w:rPr>
          <w:rFonts w:ascii="Calibri" w:hAnsi="Calibri" w:cs="Calibri"/>
          <w:lang w:val="en-US"/>
        </w:rPr>
        <w:t>1 meter</w:t>
      </w:r>
      <w:proofErr w:type="gramEnd"/>
      <w:r w:rsidRPr="00616087">
        <w:rPr>
          <w:rFonts w:ascii="Calibri" w:hAnsi="Calibri" w:cs="Calibri"/>
          <w:lang w:val="en-US"/>
        </w:rPr>
        <w:t>, minimum threshold</w:t>
      </w:r>
      <w:r>
        <w:rPr>
          <w:rFonts w:ascii="Calibri" w:hAnsi="Calibri" w:cs="Calibri"/>
          <w:lang w:val="en-US"/>
        </w:rPr>
        <w:t xml:space="preserve">: </w:t>
      </w:r>
      <w:r w:rsidRPr="00616087">
        <w:rPr>
          <w:rFonts w:ascii="Calibri" w:hAnsi="Calibri" w:cs="Calibri"/>
          <w:lang w:val="en-US"/>
        </w:rPr>
        <w:t>0.1 meters.</w:t>
      </w:r>
    </w:p>
    <w:p w14:paraId="0900949A" w14:textId="77777777" w:rsidR="00616087" w:rsidRDefault="00616087" w:rsidP="00616087">
      <w:pPr>
        <w:rPr>
          <w:rFonts w:ascii="Calibri" w:hAnsi="Calibri" w:cs="Calibri"/>
          <w:b/>
          <w:bCs/>
          <w:lang w:val="en-US"/>
        </w:rPr>
      </w:pPr>
    </w:p>
    <w:p w14:paraId="2909D0D1" w14:textId="6D7051D7" w:rsidR="00616087" w:rsidRPr="00616087" w:rsidRDefault="00616087" w:rsidP="00616087">
      <w:pPr>
        <w:rPr>
          <w:rFonts w:ascii="Calibri" w:hAnsi="Calibri" w:cs="Calibri"/>
          <w:b/>
          <w:bCs/>
          <w:lang w:val="en-US"/>
        </w:rPr>
      </w:pPr>
      <w:r w:rsidRPr="00616087">
        <w:rPr>
          <w:rFonts w:ascii="Calibri" w:hAnsi="Calibri" w:cs="Calibri"/>
          <w:b/>
          <w:bCs/>
          <w:lang w:val="en-US"/>
        </w:rPr>
        <w:t>Distance to the Nearest Flood-Prone Point:</w:t>
      </w:r>
    </w:p>
    <w:p w14:paraId="789CACA0" w14:textId="77777777" w:rsidR="00616087" w:rsidRPr="00616087" w:rsidRDefault="00616087" w:rsidP="00616087">
      <w:pPr>
        <w:numPr>
          <w:ilvl w:val="0"/>
          <w:numId w:val="36"/>
        </w:numPr>
        <w:rPr>
          <w:rFonts w:ascii="Calibri" w:hAnsi="Calibri" w:cs="Calibri"/>
          <w:lang w:val="en-US"/>
        </w:rPr>
      </w:pPr>
      <w:r w:rsidRPr="00616087">
        <w:rPr>
          <w:rFonts w:ascii="Calibri" w:hAnsi="Calibri" w:cs="Calibri"/>
          <w:b/>
          <w:bCs/>
          <w:lang w:val="en-US"/>
        </w:rPr>
        <w:t xml:space="preserve">10 meters or less: </w:t>
      </w:r>
      <w:r w:rsidRPr="00616087">
        <w:rPr>
          <w:rFonts w:ascii="Calibri" w:hAnsi="Calibri" w:cs="Calibri"/>
          <w:lang w:val="en-US"/>
        </w:rPr>
        <w:t>Considered 1 (maximum risk).</w:t>
      </w:r>
    </w:p>
    <w:p w14:paraId="2D977A00" w14:textId="77777777" w:rsidR="00616087" w:rsidRPr="00616087" w:rsidRDefault="00616087" w:rsidP="00616087">
      <w:pPr>
        <w:numPr>
          <w:ilvl w:val="0"/>
          <w:numId w:val="36"/>
        </w:numPr>
        <w:rPr>
          <w:rFonts w:ascii="Calibri" w:hAnsi="Calibri" w:cs="Calibri"/>
          <w:b/>
          <w:bCs/>
          <w:lang w:val="en-US"/>
        </w:rPr>
      </w:pPr>
      <w:r w:rsidRPr="00616087">
        <w:rPr>
          <w:rFonts w:ascii="Calibri" w:hAnsi="Calibri" w:cs="Calibri"/>
          <w:b/>
          <w:bCs/>
          <w:lang w:val="en-US"/>
        </w:rPr>
        <w:t xml:space="preserve">200 meters or more: </w:t>
      </w:r>
      <w:r w:rsidRPr="00616087">
        <w:rPr>
          <w:rFonts w:ascii="Calibri" w:hAnsi="Calibri" w:cs="Calibri"/>
          <w:lang w:val="en-US"/>
        </w:rPr>
        <w:t>Considered 0 (minimum risk).</w:t>
      </w:r>
    </w:p>
    <w:p w14:paraId="32FC6D49" w14:textId="6A8C76E2" w:rsidR="00616087" w:rsidRPr="00A31B31" w:rsidRDefault="00A31B31" w:rsidP="00616087">
      <w:pPr>
        <w:rPr>
          <w:rFonts w:ascii="Calibri" w:hAnsi="Calibri" w:cs="Calibri"/>
          <w:lang w:val="en-US"/>
        </w:rPr>
      </w:pPr>
      <w:r w:rsidRPr="00A31B31">
        <w:rPr>
          <w:rFonts w:ascii="Calibri" w:hAnsi="Calibri" w:cs="Calibri"/>
          <w:lang w:val="en-US"/>
        </w:rPr>
        <w:t>A maximum of a 10% multiplier is applied to the overall risk.</w:t>
      </w:r>
    </w:p>
    <w:p w14:paraId="27301FDA" w14:textId="76519635" w:rsidR="00616087" w:rsidRPr="00616087" w:rsidRDefault="00616087" w:rsidP="00616087">
      <w:pPr>
        <w:rPr>
          <w:rFonts w:ascii="Calibri" w:hAnsi="Calibri" w:cs="Calibri"/>
          <w:b/>
          <w:bCs/>
          <w:lang w:val="en-US"/>
        </w:rPr>
      </w:pPr>
      <w:r w:rsidRPr="00616087">
        <w:rPr>
          <w:rFonts w:ascii="Calibri" w:hAnsi="Calibri" w:cs="Calibri"/>
          <w:b/>
          <w:bCs/>
          <w:lang w:val="en-US"/>
        </w:rPr>
        <w:t>Flood-Prone Facility by Direct Observation:</w:t>
      </w:r>
    </w:p>
    <w:p w14:paraId="7C42BD77" w14:textId="2FA831A7" w:rsidR="00616087" w:rsidRPr="00616087" w:rsidRDefault="00616087" w:rsidP="00616087">
      <w:pPr>
        <w:numPr>
          <w:ilvl w:val="0"/>
          <w:numId w:val="37"/>
        </w:numPr>
        <w:rPr>
          <w:rFonts w:ascii="Calibri" w:hAnsi="Calibri" w:cs="Calibri"/>
          <w:lang w:val="en-US"/>
        </w:rPr>
      </w:pPr>
      <w:r w:rsidRPr="00616087">
        <w:rPr>
          <w:rFonts w:ascii="Calibri" w:hAnsi="Calibri" w:cs="Calibri"/>
          <w:lang w:val="en-US"/>
        </w:rPr>
        <w:lastRenderedPageBreak/>
        <w:t>If the facility appears in a company-provided list as flood-prone, a 20% multiplier is applied to the calculated probability value.</w:t>
      </w:r>
    </w:p>
    <w:p w14:paraId="1AB7B078" w14:textId="77777777" w:rsidR="00316D0A" w:rsidRPr="00316D0A" w:rsidRDefault="00000000" w:rsidP="00316D0A">
      <w:pPr>
        <w:rPr>
          <w:rFonts w:ascii="Calibri" w:hAnsi="Calibri" w:cs="Calibri"/>
        </w:rPr>
      </w:pPr>
      <w:r>
        <w:rPr>
          <w:rFonts w:ascii="Calibri" w:hAnsi="Calibri" w:cs="Calibri"/>
        </w:rPr>
        <w:pict w14:anchorId="37E0ECAE">
          <v:rect id="_x0000_i1033" style="width:0;height:1.5pt" o:hralign="center" o:hrstd="t" o:hr="t" fillcolor="#a0a0a0" stroked="f"/>
        </w:pict>
      </w:r>
    </w:p>
    <w:p w14:paraId="13F9B51A" w14:textId="5CFE47DA" w:rsidR="00316D0A" w:rsidRDefault="00316D0A" w:rsidP="006B734B">
      <w:pPr>
        <w:pStyle w:val="Heading3"/>
        <w:rPr>
          <w:lang w:val="en-US"/>
        </w:rPr>
      </w:pPr>
      <w:bookmarkStart w:id="11" w:name="_Toc191888379"/>
      <w:r w:rsidRPr="00616087">
        <w:rPr>
          <w:lang w:val="en-US"/>
        </w:rPr>
        <w:t xml:space="preserve">4.2. </w:t>
      </w:r>
      <w:r w:rsidR="00E37FD1" w:rsidRPr="00E37FD1">
        <w:rPr>
          <w:lang w:val="en-US"/>
        </w:rPr>
        <w:t>Operational Assumptions</w:t>
      </w:r>
      <w:bookmarkEnd w:id="11"/>
    </w:p>
    <w:p w14:paraId="40FA35EA" w14:textId="77777777" w:rsidR="00616087" w:rsidRPr="00616087" w:rsidRDefault="00616087" w:rsidP="00616087">
      <w:pPr>
        <w:rPr>
          <w:lang w:val="en-US"/>
        </w:rPr>
      </w:pPr>
    </w:p>
    <w:p w14:paraId="3CEE6993" w14:textId="77777777" w:rsidR="00616087" w:rsidRPr="00616087" w:rsidRDefault="00616087" w:rsidP="00616087">
      <w:pPr>
        <w:rPr>
          <w:rFonts w:ascii="Calibri" w:hAnsi="Calibri" w:cs="Calibri"/>
          <w:b/>
          <w:bCs/>
          <w:lang w:val="en-US"/>
        </w:rPr>
      </w:pPr>
      <w:r w:rsidRPr="00616087">
        <w:rPr>
          <w:rFonts w:ascii="Calibri" w:hAnsi="Calibri" w:cs="Calibri"/>
          <w:b/>
          <w:bCs/>
          <w:lang w:val="en-US"/>
        </w:rPr>
        <w:t>Data Availability and Accuracy:</w:t>
      </w:r>
    </w:p>
    <w:p w14:paraId="21550D35" w14:textId="77777777" w:rsidR="00616087" w:rsidRPr="00616087" w:rsidRDefault="00616087" w:rsidP="00616087">
      <w:pPr>
        <w:numPr>
          <w:ilvl w:val="0"/>
          <w:numId w:val="38"/>
        </w:numPr>
        <w:rPr>
          <w:rFonts w:ascii="Calibri" w:hAnsi="Calibri" w:cs="Calibri"/>
          <w:lang w:val="en-US"/>
        </w:rPr>
      </w:pPr>
      <w:r w:rsidRPr="00616087">
        <w:rPr>
          <w:rFonts w:ascii="Calibri" w:hAnsi="Calibri" w:cs="Calibri"/>
          <w:lang w:val="en-US"/>
        </w:rPr>
        <w:t>It is assumed that the weather forecast and historical rainfall accumulation data provided by AEMET are accurate and up to date.</w:t>
      </w:r>
    </w:p>
    <w:p w14:paraId="56E87029" w14:textId="77777777" w:rsidR="00616087" w:rsidRDefault="00616087" w:rsidP="00616087">
      <w:pPr>
        <w:numPr>
          <w:ilvl w:val="0"/>
          <w:numId w:val="38"/>
        </w:numPr>
        <w:rPr>
          <w:rFonts w:ascii="Calibri" w:hAnsi="Calibri" w:cs="Calibri"/>
          <w:lang w:val="en-US"/>
        </w:rPr>
      </w:pPr>
      <w:r w:rsidRPr="00616087">
        <w:rPr>
          <w:rFonts w:ascii="Calibri" w:hAnsi="Calibri" w:cs="Calibri"/>
          <w:lang w:val="en-US"/>
        </w:rPr>
        <w:t>It is assumed that the flood-prone area maps provided by CNIG are accurate and up to date.</w:t>
      </w:r>
    </w:p>
    <w:p w14:paraId="62EB5E39" w14:textId="77777777" w:rsidR="00616087" w:rsidRPr="00616087" w:rsidRDefault="00616087" w:rsidP="00616087">
      <w:pPr>
        <w:ind w:left="720"/>
        <w:rPr>
          <w:rFonts w:ascii="Calibri" w:hAnsi="Calibri" w:cs="Calibri"/>
          <w:lang w:val="en-US"/>
        </w:rPr>
      </w:pPr>
    </w:p>
    <w:p w14:paraId="2E23C0CB" w14:textId="77777777" w:rsidR="00616087" w:rsidRPr="00616087" w:rsidRDefault="00616087" w:rsidP="00616087">
      <w:pPr>
        <w:rPr>
          <w:rFonts w:ascii="Calibri" w:hAnsi="Calibri" w:cs="Calibri"/>
          <w:b/>
          <w:bCs/>
        </w:rPr>
      </w:pPr>
      <w:proofErr w:type="spellStart"/>
      <w:r w:rsidRPr="00616087">
        <w:rPr>
          <w:rFonts w:ascii="Calibri" w:hAnsi="Calibri" w:cs="Calibri"/>
          <w:b/>
          <w:bCs/>
        </w:rPr>
        <w:t>Scalability</w:t>
      </w:r>
      <w:proofErr w:type="spellEnd"/>
      <w:r w:rsidRPr="00616087">
        <w:rPr>
          <w:rFonts w:ascii="Calibri" w:hAnsi="Calibri" w:cs="Calibri"/>
          <w:b/>
          <w:bCs/>
        </w:rPr>
        <w:t>:</w:t>
      </w:r>
    </w:p>
    <w:p w14:paraId="2CA7F4CD" w14:textId="77777777" w:rsidR="00616087" w:rsidRPr="00616087" w:rsidRDefault="00616087" w:rsidP="00616087">
      <w:pPr>
        <w:numPr>
          <w:ilvl w:val="0"/>
          <w:numId w:val="39"/>
        </w:numPr>
        <w:rPr>
          <w:rFonts w:ascii="Calibri" w:hAnsi="Calibri" w:cs="Calibri"/>
          <w:lang w:val="en-US"/>
        </w:rPr>
      </w:pPr>
      <w:r w:rsidRPr="00616087">
        <w:rPr>
          <w:rFonts w:ascii="Calibri" w:hAnsi="Calibri" w:cs="Calibri"/>
          <w:lang w:val="en-US"/>
        </w:rPr>
        <w:t>The architecture has been designed in a modular way to allow the future incorporation of new risk parameters without requiring a system restructuring.</w:t>
      </w:r>
    </w:p>
    <w:p w14:paraId="2F802C85" w14:textId="77777777" w:rsidR="00316D0A" w:rsidRPr="00616087" w:rsidRDefault="00316D0A">
      <w:pPr>
        <w:rPr>
          <w:rFonts w:ascii="Calibri" w:hAnsi="Calibri" w:cs="Calibri"/>
          <w:lang w:val="en-US"/>
        </w:rPr>
      </w:pPr>
    </w:p>
    <w:p w14:paraId="03A5DC9E" w14:textId="77777777" w:rsidR="00A36CF0" w:rsidRPr="00616087" w:rsidRDefault="00A36CF0">
      <w:pPr>
        <w:rPr>
          <w:rFonts w:ascii="Calibri" w:hAnsi="Calibri" w:cs="Calibri"/>
          <w:lang w:val="en-US"/>
        </w:rPr>
      </w:pPr>
    </w:p>
    <w:p w14:paraId="53E04CD0" w14:textId="77777777" w:rsidR="00A36CF0" w:rsidRPr="00616087" w:rsidRDefault="00A36CF0">
      <w:pPr>
        <w:rPr>
          <w:rFonts w:ascii="Calibri" w:hAnsi="Calibri" w:cs="Calibri"/>
          <w:lang w:val="en-US"/>
        </w:rPr>
      </w:pPr>
    </w:p>
    <w:sectPr w:rsidR="00A36CF0" w:rsidRPr="0061608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8E99" w14:textId="77777777" w:rsidR="00B52CC7" w:rsidRDefault="00B52CC7" w:rsidP="00B533B9">
      <w:pPr>
        <w:spacing w:after="0" w:line="240" w:lineRule="auto"/>
      </w:pPr>
      <w:r>
        <w:separator/>
      </w:r>
    </w:p>
  </w:endnote>
  <w:endnote w:type="continuationSeparator" w:id="0">
    <w:p w14:paraId="187B337F" w14:textId="77777777" w:rsidR="00B52CC7" w:rsidRDefault="00B52CC7" w:rsidP="00B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raphik Light">
    <w:panose1 w:val="020B04030302020602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C01A" w14:textId="77777777" w:rsidR="00B533B9" w:rsidRDefault="00B53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D854" w14:textId="77777777" w:rsidR="00EC730A" w:rsidRDefault="00EC730A" w:rsidP="00B533B9">
    <w:pPr>
      <w:pStyle w:val="Footer"/>
      <w:jc w:val="right"/>
    </w:pPr>
  </w:p>
  <w:p w14:paraId="3D698076" w14:textId="1147A587" w:rsidR="00B533B9" w:rsidRDefault="00B533B9" w:rsidP="00B533B9">
    <w:pPr>
      <w:pStyle w:val="Footer"/>
      <w:jc w:val="right"/>
    </w:pPr>
    <w:r w:rsidRPr="00B4440E">
      <w:rPr>
        <w:noProof/>
      </w:rPr>
      <mc:AlternateContent>
        <mc:Choice Requires="wps">
          <w:drawing>
            <wp:anchor distT="0" distB="0" distL="114300" distR="114300" simplePos="0" relativeHeight="251660288" behindDoc="0" locked="0" layoutInCell="1" allowOverlap="1" wp14:anchorId="6C5A6629" wp14:editId="630E2EAD">
              <wp:simplePos x="0" y="0"/>
              <wp:positionH relativeFrom="column">
                <wp:posOffset>487409</wp:posOffset>
              </wp:positionH>
              <wp:positionV relativeFrom="paragraph">
                <wp:posOffset>37531</wp:posOffset>
              </wp:positionV>
              <wp:extent cx="3687288" cy="163451"/>
              <wp:effectExtent l="0" t="0" r="0" b="0"/>
              <wp:wrapNone/>
              <wp:docPr id="19" name="Text Placeholder 5">
                <a:extLst xmlns:a="http://schemas.openxmlformats.org/drawingml/2006/main">
                  <a:ext uri="{FF2B5EF4-FFF2-40B4-BE49-F238E27FC236}">
                    <a16:creationId xmlns:a16="http://schemas.microsoft.com/office/drawing/2014/main" id="{55EF7744-62B1-267E-155A-87E42C4B48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7288" cy="163451"/>
                      </a:xfrm>
                      <a:prstGeom prst="rect">
                        <a:avLst/>
                      </a:prstGeom>
                    </wps:spPr>
                    <wps:txbx>
                      <w:txbxContent>
                        <w:p w14:paraId="0289B526" w14:textId="77777777" w:rsidR="00B533B9" w:rsidRDefault="00B533B9" w:rsidP="00B533B9">
                          <w:pPr>
                            <w:rPr>
                              <w:rFonts w:ascii="Graphik Light" w:hAnsi="Graphik Light"/>
                              <w:color w:val="000000" w:themeColor="text1"/>
                              <w:kern w:val="24"/>
                              <w:sz w:val="20"/>
                              <w:szCs w:val="20"/>
                              <w:lang w:val="es-ES_tradnl"/>
                              <w14:ligatures w14:val="none"/>
                            </w:rPr>
                          </w:pPr>
                          <w:r>
                            <w:rPr>
                              <w:rFonts w:ascii="Graphik Light" w:hAnsi="Graphik Light"/>
                              <w:color w:val="000000" w:themeColor="text1"/>
                              <w:kern w:val="24"/>
                              <w:sz w:val="20"/>
                              <w:szCs w:val="20"/>
                              <w:lang w:val="es-ES_tradnl"/>
                            </w:rPr>
                            <w:t>PoC Iberdrola Instalaciones Inundables</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shapetype w14:anchorId="6C5A6629" id="_x0000_t202" coordsize="21600,21600" o:spt="202" path="m,l,21600r21600,l21600,xe">
              <v:stroke joinstyle="miter"/>
              <v:path gradientshapeok="t" o:connecttype="rect"/>
            </v:shapetype>
            <v:shape id="Text Placeholder 5" o:spid="_x0000_s1026" type="#_x0000_t202" style="position:absolute;left:0;text-align:left;margin-left:38.4pt;margin-top:2.95pt;width:290.35pt;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" filled="f" stroked="f">
              <v:textbox inset="0,0,0,0">
                <w:txbxContent>
                  <w:p w14:paraId="0289B526" w14:textId="77777777" w:rsidR="00B533B9" w:rsidRDefault="00B533B9" w:rsidP="00B533B9">
                    <w:pPr>
                      <w:rPr>
                        <w:rFonts w:ascii="Graphik Light" w:hAnsi="Graphik Light"/>
                        <w:color w:val="000000" w:themeColor="text1"/>
                        <w:kern w:val="24"/>
                        <w:sz w:val="20"/>
                        <w:szCs w:val="20"/>
                        <w:lang w:val="es-ES_tradnl"/>
                        <w14:ligatures w14:val="none"/>
                      </w:rPr>
                    </w:pPr>
                    <w:r>
                      <w:rPr>
                        <w:rFonts w:ascii="Graphik Light" w:hAnsi="Graphik Light"/>
                        <w:color w:val="000000" w:themeColor="text1"/>
                        <w:kern w:val="24"/>
                        <w:sz w:val="20"/>
                        <w:szCs w:val="20"/>
                        <w:lang w:val="es-ES_tradnl"/>
                      </w:rPr>
                      <w:t>PoC Iberdrola Instalaciones Inundables</w:t>
                    </w:r>
                  </w:p>
                </w:txbxContent>
              </v:textbox>
            </v:shape>
          </w:pict>
        </mc:Fallback>
      </mc:AlternateContent>
    </w:r>
    <w:r w:rsidRPr="00B4440E">
      <w:rPr>
        <w:noProof/>
      </w:rPr>
      <mc:AlternateContent>
        <mc:Choice Requires="wps">
          <w:drawing>
            <wp:anchor distT="0" distB="0" distL="114300" distR="114300" simplePos="0" relativeHeight="251659264" behindDoc="0" locked="0" layoutInCell="1" allowOverlap="1" wp14:anchorId="32217F63" wp14:editId="4A20B8F4">
              <wp:simplePos x="0" y="0"/>
              <wp:positionH relativeFrom="column">
                <wp:posOffset>288290</wp:posOffset>
              </wp:positionH>
              <wp:positionV relativeFrom="paragraph">
                <wp:posOffset>-16510</wp:posOffset>
              </wp:positionV>
              <wp:extent cx="0" cy="234728"/>
              <wp:effectExtent l="0" t="0" r="38100" b="32385"/>
              <wp:wrapNone/>
              <wp:docPr id="15" name="Straight Connector 14">
                <a:extLst xmlns:a="http://schemas.openxmlformats.org/drawingml/2006/main">
                  <a:ext uri="{FF2B5EF4-FFF2-40B4-BE49-F238E27FC236}">
                    <a16:creationId xmlns:a16="http://schemas.microsoft.com/office/drawing/2014/main" id="{3DE0C02B-9A10-FFA4-6B5C-9D9E82F2BB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728"/>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82E56"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7pt,-1.3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" strokecolor="#7f7f7f [1612]" strokeweight=".25pt">
              <v:stroke joinstyle="miter"/>
              <o:lock v:ext="edit" shapetype="f"/>
            </v:line>
          </w:pict>
        </mc:Fallback>
      </mc:AlternateContent>
    </w:r>
    <w:r w:rsidRPr="00B4440E">
      <w:rPr>
        <w:noProof/>
      </w:rPr>
      <mc:AlternateContent>
        <mc:Choice Requires="wps">
          <w:drawing>
            <wp:anchor distT="0" distB="0" distL="114300" distR="114300" simplePos="0" relativeHeight="251661312" behindDoc="0" locked="0" layoutInCell="1" allowOverlap="1" wp14:anchorId="64644720" wp14:editId="76097256">
              <wp:simplePos x="0" y="0"/>
              <wp:positionH relativeFrom="column">
                <wp:posOffset>0</wp:posOffset>
              </wp:positionH>
              <wp:positionV relativeFrom="paragraph">
                <wp:posOffset>0</wp:posOffset>
              </wp:positionV>
              <wp:extent cx="183202" cy="201168"/>
              <wp:effectExtent l="0" t="0" r="7620" b="8890"/>
              <wp:wrapNone/>
              <wp:docPr id="2" name="GTS_Purple" descr="Accenture Greater Than symbol in purple">
                <a:extLst xmlns:a="http://schemas.openxmlformats.org/drawingml/2006/main">
                  <a:ext uri="{FF2B5EF4-FFF2-40B4-BE49-F238E27FC236}">
                    <a16:creationId xmlns:a16="http://schemas.microsoft.com/office/drawing/2014/main" id="{FFD0C4B9-F443-1A4B-FBB9-AE671D3B7D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3202" cy="201168"/>
                      </a:xfrm>
                      <a:custGeom>
                        <a:avLst/>
                        <a:gdLst>
                          <a:gd name="T0" fmla="*/ 0 w 4100"/>
                          <a:gd name="T1" fmla="*/ 4500 h 4500"/>
                          <a:gd name="T2" fmla="*/ 4100 w 4100"/>
                          <a:gd name="T3" fmla="*/ 2837 h 4500"/>
                          <a:gd name="T4" fmla="*/ 4100 w 4100"/>
                          <a:gd name="T5" fmla="*/ 1663 h 4500"/>
                          <a:gd name="T6" fmla="*/ 0 w 4100"/>
                          <a:gd name="T7" fmla="*/ 0 h 4500"/>
                          <a:gd name="T8" fmla="*/ 0 w 4100"/>
                          <a:gd name="T9" fmla="*/ 1175 h 4500"/>
                          <a:gd name="T10" fmla="*/ 2651 w 4100"/>
                          <a:gd name="T11" fmla="*/ 2250 h 4500"/>
                          <a:gd name="T12" fmla="*/ 0 w 4100"/>
                          <a:gd name="T13" fmla="*/ 3325 h 4500"/>
                          <a:gd name="T14" fmla="*/ 0 w 4100"/>
                          <a:gd name="T15" fmla="*/ 4500 h 4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00" h="4500">
                            <a:moveTo>
                              <a:pt x="0" y="4500"/>
                            </a:moveTo>
                            <a:lnTo>
                              <a:pt x="4100" y="2837"/>
                            </a:lnTo>
                            <a:lnTo>
                              <a:pt x="4100" y="1663"/>
                            </a:lnTo>
                            <a:lnTo>
                              <a:pt x="0" y="0"/>
                            </a:lnTo>
                            <a:lnTo>
                              <a:pt x="0" y="1175"/>
                            </a:lnTo>
                            <a:lnTo>
                              <a:pt x="2651" y="2250"/>
                            </a:lnTo>
                            <a:lnTo>
                              <a:pt x="0" y="3325"/>
                            </a:lnTo>
                            <a:lnTo>
                              <a:pt x="0" y="4500"/>
                            </a:lnTo>
                            <a:close/>
                          </a:path>
                        </a:pathLst>
                      </a:custGeom>
                      <a:solidFill>
                        <a:srgbClr val="7030A0"/>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47DC51F2" id="GTS_Purple" o:spid="_x0000_s1026" alt="Accenture Greater Than symbol in purple" style="position:absolute;margin-left:0;margin-top:0;width:14.45pt;height:15.8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1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" path="m,4500l4100,2837r,-1174l,,,1175,2651,2250,,3325,,4500xe" fillcolor="#7030a0" stroked="f" strokeweight="0">
              <v:path arrowok="t" o:connecttype="custom" o:connectlocs="0,201168;183202,126825;183202,74343;0,0;0,52527;118456,100584;0,148641;0,201168" o:connectangles="0,0,0,0,0,0,0,0"/>
              <o:lock v:ext="edit" aspectratio="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4F8B1" w14:textId="77777777" w:rsidR="00B533B9" w:rsidRDefault="00B53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8422" w14:textId="77777777" w:rsidR="00B52CC7" w:rsidRDefault="00B52CC7" w:rsidP="00B533B9">
      <w:pPr>
        <w:spacing w:after="0" w:line="240" w:lineRule="auto"/>
      </w:pPr>
      <w:r>
        <w:separator/>
      </w:r>
    </w:p>
  </w:footnote>
  <w:footnote w:type="continuationSeparator" w:id="0">
    <w:p w14:paraId="58B1973B" w14:textId="77777777" w:rsidR="00B52CC7" w:rsidRDefault="00B52CC7" w:rsidP="00B53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2167" w14:textId="77777777" w:rsidR="00B533B9" w:rsidRDefault="00B53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4777" w14:textId="13527F29" w:rsidR="00B533B9" w:rsidRDefault="00B533B9">
    <w:pPr>
      <w:pStyle w:val="Header"/>
    </w:pPr>
    <w:r w:rsidRPr="00B4440E">
      <w:rPr>
        <w:noProof/>
      </w:rPr>
      <mc:AlternateContent>
        <mc:Choice Requires="wps">
          <w:drawing>
            <wp:anchor distT="0" distB="0" distL="114300" distR="114300" simplePos="0" relativeHeight="251663360" behindDoc="0" locked="0" layoutInCell="1" allowOverlap="1" wp14:anchorId="1F96F13C" wp14:editId="67E2BE7C">
              <wp:simplePos x="0" y="0"/>
              <wp:positionH relativeFrom="margin">
                <wp:align>left</wp:align>
              </wp:positionH>
              <wp:positionV relativeFrom="paragraph">
                <wp:posOffset>-81445</wp:posOffset>
              </wp:positionV>
              <wp:extent cx="243705" cy="267195"/>
              <wp:effectExtent l="0" t="0" r="4445" b="0"/>
              <wp:wrapNone/>
              <wp:docPr id="1564827484" name="GTS_Purple" descr="Accenture Greater Than symbol in pur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3705" cy="267195"/>
                      </a:xfrm>
                      <a:custGeom>
                        <a:avLst/>
                        <a:gdLst>
                          <a:gd name="T0" fmla="*/ 0 w 4100"/>
                          <a:gd name="T1" fmla="*/ 4500 h 4500"/>
                          <a:gd name="T2" fmla="*/ 4100 w 4100"/>
                          <a:gd name="T3" fmla="*/ 2837 h 4500"/>
                          <a:gd name="T4" fmla="*/ 4100 w 4100"/>
                          <a:gd name="T5" fmla="*/ 1663 h 4500"/>
                          <a:gd name="T6" fmla="*/ 0 w 4100"/>
                          <a:gd name="T7" fmla="*/ 0 h 4500"/>
                          <a:gd name="T8" fmla="*/ 0 w 4100"/>
                          <a:gd name="T9" fmla="*/ 1175 h 4500"/>
                          <a:gd name="T10" fmla="*/ 2651 w 4100"/>
                          <a:gd name="T11" fmla="*/ 2250 h 4500"/>
                          <a:gd name="T12" fmla="*/ 0 w 4100"/>
                          <a:gd name="T13" fmla="*/ 3325 h 4500"/>
                          <a:gd name="T14" fmla="*/ 0 w 4100"/>
                          <a:gd name="T15" fmla="*/ 4500 h 4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00" h="4500">
                            <a:moveTo>
                              <a:pt x="0" y="4500"/>
                            </a:moveTo>
                            <a:lnTo>
                              <a:pt x="4100" y="2837"/>
                            </a:lnTo>
                            <a:lnTo>
                              <a:pt x="4100" y="1663"/>
                            </a:lnTo>
                            <a:lnTo>
                              <a:pt x="0" y="0"/>
                            </a:lnTo>
                            <a:lnTo>
                              <a:pt x="0" y="1175"/>
                            </a:lnTo>
                            <a:lnTo>
                              <a:pt x="2651" y="2250"/>
                            </a:lnTo>
                            <a:lnTo>
                              <a:pt x="0" y="3325"/>
                            </a:lnTo>
                            <a:lnTo>
                              <a:pt x="0" y="4500"/>
                            </a:lnTo>
                            <a:close/>
                          </a:path>
                        </a:pathLst>
                      </a:custGeom>
                      <a:solidFill>
                        <a:srgbClr val="7030A0"/>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8C6FF7" id="GTS_Purple" o:spid="_x0000_s1026" alt="Accenture Greater Than symbol in purple" style="position:absolute;margin-left:0;margin-top:-6.4pt;width:19.2pt;height:21.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41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" path="m,4500l4100,2837r,-1174l,,,1175,2651,2250,,3325,,4500xe" fillcolor="#7030a0" stroked="f" strokeweight="0">
              <v:path arrowok="t" o:connecttype="custom" o:connectlocs="0,267195;243705,168452;243705,98743;0,0;0,69768;157576,133598;0,197427;0,267195" o:connectangles="0,0,0,0,0,0,0,0"/>
              <o:lock v:ext="edit" aspectratio="t"/>
              <w10:wrap anchorx="margin"/>
            </v:shape>
          </w:pict>
        </mc:Fallback>
      </mc:AlternateContent>
    </w:r>
    <w:r>
      <w:t xml:space="preserve">                                                                                                                              </w:t>
    </w:r>
    <w:r w:rsidRPr="004751F8">
      <w:rPr>
        <w:noProof/>
      </w:rPr>
      <w:drawing>
        <wp:inline distT="0" distB="0" distL="0" distR="0" wp14:anchorId="5EE4F0CE" wp14:editId="0FF6EF6C">
          <wp:extent cx="1027216" cy="253996"/>
          <wp:effectExtent l="0" t="0" r="1905" b="0"/>
          <wp:docPr id="5" name="Picture 4" descr="A green text on a black background&#10;&#10;Description automatically generated">
            <a:extLst xmlns:a="http://schemas.openxmlformats.org/drawingml/2006/main">
              <a:ext uri="{FF2B5EF4-FFF2-40B4-BE49-F238E27FC236}">
                <a16:creationId xmlns:a16="http://schemas.microsoft.com/office/drawing/2014/main" id="{95671E4E-A62A-4A83-441C-4BAFB7391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een text on a black background&#10;&#10;Description automatically generated">
                    <a:extLst>
                      <a:ext uri="{FF2B5EF4-FFF2-40B4-BE49-F238E27FC236}">
                        <a16:creationId xmlns:a16="http://schemas.microsoft.com/office/drawing/2014/main" id="{95671E4E-A62A-4A83-441C-4BAFB739174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587" cy="262247"/>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3E47" w14:textId="77777777" w:rsidR="00B533B9" w:rsidRDefault="00B53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E5"/>
    <w:multiLevelType w:val="multilevel"/>
    <w:tmpl w:val="BA5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01BF5"/>
    <w:multiLevelType w:val="multilevel"/>
    <w:tmpl w:val="9098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6088D"/>
    <w:multiLevelType w:val="multilevel"/>
    <w:tmpl w:val="66C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422C3"/>
    <w:multiLevelType w:val="multilevel"/>
    <w:tmpl w:val="8958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74350"/>
    <w:multiLevelType w:val="multilevel"/>
    <w:tmpl w:val="25B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86630"/>
    <w:multiLevelType w:val="hybridMultilevel"/>
    <w:tmpl w:val="FC18D9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0EBA2E05"/>
    <w:multiLevelType w:val="multilevel"/>
    <w:tmpl w:val="40820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3030D"/>
    <w:multiLevelType w:val="multilevel"/>
    <w:tmpl w:val="94B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84312"/>
    <w:multiLevelType w:val="hybridMultilevel"/>
    <w:tmpl w:val="1DF6A62C"/>
    <w:lvl w:ilvl="0" w:tplc="C64A8204">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E0E4645"/>
    <w:multiLevelType w:val="multilevel"/>
    <w:tmpl w:val="F732E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D2BD9"/>
    <w:multiLevelType w:val="multilevel"/>
    <w:tmpl w:val="BFD8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14AF0"/>
    <w:multiLevelType w:val="multilevel"/>
    <w:tmpl w:val="5EC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06745"/>
    <w:multiLevelType w:val="hybridMultilevel"/>
    <w:tmpl w:val="84A0987C"/>
    <w:lvl w:ilvl="0" w:tplc="C64A8204">
      <w:numFmt w:val="bullet"/>
      <w:lvlText w:val="-"/>
      <w:lvlJc w:val="left"/>
      <w:pPr>
        <w:ind w:left="825" w:hanging="360"/>
      </w:pPr>
      <w:rPr>
        <w:rFonts w:ascii="Calibri" w:eastAsiaTheme="minorHAnsi" w:hAnsi="Calibri" w:cs="Calibri"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35A11669"/>
    <w:multiLevelType w:val="multilevel"/>
    <w:tmpl w:val="E712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04315"/>
    <w:multiLevelType w:val="hybridMultilevel"/>
    <w:tmpl w:val="39E8E14C"/>
    <w:lvl w:ilvl="0" w:tplc="C64A820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910B77"/>
    <w:multiLevelType w:val="multilevel"/>
    <w:tmpl w:val="EBE4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80BA3"/>
    <w:multiLevelType w:val="multilevel"/>
    <w:tmpl w:val="54F4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51B1C"/>
    <w:multiLevelType w:val="multilevel"/>
    <w:tmpl w:val="7056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727FE"/>
    <w:multiLevelType w:val="multilevel"/>
    <w:tmpl w:val="D55A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A68B2"/>
    <w:multiLevelType w:val="multilevel"/>
    <w:tmpl w:val="A4B2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30991"/>
    <w:multiLevelType w:val="multilevel"/>
    <w:tmpl w:val="864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110DD"/>
    <w:multiLevelType w:val="multilevel"/>
    <w:tmpl w:val="1D9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936C6"/>
    <w:multiLevelType w:val="multilevel"/>
    <w:tmpl w:val="1C4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76423"/>
    <w:multiLevelType w:val="multilevel"/>
    <w:tmpl w:val="A7AE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60C86"/>
    <w:multiLevelType w:val="multilevel"/>
    <w:tmpl w:val="57AC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764ED"/>
    <w:multiLevelType w:val="multilevel"/>
    <w:tmpl w:val="48E28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E77459"/>
    <w:multiLevelType w:val="multilevel"/>
    <w:tmpl w:val="8CEC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F65720"/>
    <w:multiLevelType w:val="multilevel"/>
    <w:tmpl w:val="39F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95CEB"/>
    <w:multiLevelType w:val="multilevel"/>
    <w:tmpl w:val="CEF2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34FEF"/>
    <w:multiLevelType w:val="multilevel"/>
    <w:tmpl w:val="84D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E0924"/>
    <w:multiLevelType w:val="hybridMultilevel"/>
    <w:tmpl w:val="91C84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2718F5"/>
    <w:multiLevelType w:val="multilevel"/>
    <w:tmpl w:val="44D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03F7B"/>
    <w:multiLevelType w:val="multilevel"/>
    <w:tmpl w:val="39F4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D5593"/>
    <w:multiLevelType w:val="multilevel"/>
    <w:tmpl w:val="5D80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B324A"/>
    <w:multiLevelType w:val="multilevel"/>
    <w:tmpl w:val="1D2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B68E0"/>
    <w:multiLevelType w:val="multilevel"/>
    <w:tmpl w:val="40C2B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C7B1C"/>
    <w:multiLevelType w:val="multilevel"/>
    <w:tmpl w:val="6EE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B542C0"/>
    <w:multiLevelType w:val="multilevel"/>
    <w:tmpl w:val="18AA6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F060A"/>
    <w:multiLevelType w:val="multilevel"/>
    <w:tmpl w:val="CB18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4E7A8D"/>
    <w:multiLevelType w:val="multilevel"/>
    <w:tmpl w:val="6F4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DF6D1A"/>
    <w:multiLevelType w:val="multilevel"/>
    <w:tmpl w:val="7748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654C4"/>
    <w:multiLevelType w:val="multilevel"/>
    <w:tmpl w:val="770E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562E3F"/>
    <w:multiLevelType w:val="multilevel"/>
    <w:tmpl w:val="DBE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391469">
    <w:abstractNumId w:val="16"/>
  </w:num>
  <w:num w:numId="2" w16cid:durableId="995261740">
    <w:abstractNumId w:val="1"/>
  </w:num>
  <w:num w:numId="3" w16cid:durableId="962689710">
    <w:abstractNumId w:val="26"/>
  </w:num>
  <w:num w:numId="4" w16cid:durableId="241527042">
    <w:abstractNumId w:val="15"/>
  </w:num>
  <w:num w:numId="5" w16cid:durableId="1308051010">
    <w:abstractNumId w:val="27"/>
  </w:num>
  <w:num w:numId="6" w16cid:durableId="1787461434">
    <w:abstractNumId w:val="2"/>
  </w:num>
  <w:num w:numId="7" w16cid:durableId="850030394">
    <w:abstractNumId w:val="11"/>
  </w:num>
  <w:num w:numId="8" w16cid:durableId="1481847538">
    <w:abstractNumId w:val="25"/>
  </w:num>
  <w:num w:numId="9" w16cid:durableId="1803228554">
    <w:abstractNumId w:val="29"/>
  </w:num>
  <w:num w:numId="10" w16cid:durableId="1700619066">
    <w:abstractNumId w:val="41"/>
  </w:num>
  <w:num w:numId="11" w16cid:durableId="433283353">
    <w:abstractNumId w:val="39"/>
  </w:num>
  <w:num w:numId="12" w16cid:durableId="1743943162">
    <w:abstractNumId w:val="23"/>
  </w:num>
  <w:num w:numId="13" w16cid:durableId="1714117608">
    <w:abstractNumId w:val="19"/>
  </w:num>
  <w:num w:numId="14" w16cid:durableId="2029679571">
    <w:abstractNumId w:val="10"/>
  </w:num>
  <w:num w:numId="15" w16cid:durableId="150949238">
    <w:abstractNumId w:val="22"/>
  </w:num>
  <w:num w:numId="16" w16cid:durableId="330068687">
    <w:abstractNumId w:val="37"/>
  </w:num>
  <w:num w:numId="17" w16cid:durableId="926963451">
    <w:abstractNumId w:val="17"/>
  </w:num>
  <w:num w:numId="18" w16cid:durableId="63456422">
    <w:abstractNumId w:val="7"/>
  </w:num>
  <w:num w:numId="19" w16cid:durableId="899172965">
    <w:abstractNumId w:val="31"/>
  </w:num>
  <w:num w:numId="20" w16cid:durableId="604389588">
    <w:abstractNumId w:val="18"/>
  </w:num>
  <w:num w:numId="21" w16cid:durableId="1321231616">
    <w:abstractNumId w:val="20"/>
  </w:num>
  <w:num w:numId="22" w16cid:durableId="403186156">
    <w:abstractNumId w:val="6"/>
  </w:num>
  <w:num w:numId="23" w16cid:durableId="1848252038">
    <w:abstractNumId w:val="9"/>
  </w:num>
  <w:num w:numId="24" w16cid:durableId="1114137433">
    <w:abstractNumId w:val="10"/>
  </w:num>
  <w:num w:numId="25" w16cid:durableId="1747150648">
    <w:abstractNumId w:val="35"/>
  </w:num>
  <w:num w:numId="26" w16cid:durableId="1655597967">
    <w:abstractNumId w:val="4"/>
  </w:num>
  <w:num w:numId="27" w16cid:durableId="56631958">
    <w:abstractNumId w:val="36"/>
  </w:num>
  <w:num w:numId="28" w16cid:durableId="113211577">
    <w:abstractNumId w:val="38"/>
  </w:num>
  <w:num w:numId="29" w16cid:durableId="1082334046">
    <w:abstractNumId w:val="34"/>
  </w:num>
  <w:num w:numId="30" w16cid:durableId="1688212503">
    <w:abstractNumId w:val="3"/>
  </w:num>
  <w:num w:numId="31" w16cid:durableId="1994138385">
    <w:abstractNumId w:val="42"/>
  </w:num>
  <w:num w:numId="32" w16cid:durableId="986937923">
    <w:abstractNumId w:val="0"/>
  </w:num>
  <w:num w:numId="33" w16cid:durableId="1463964710">
    <w:abstractNumId w:val="13"/>
  </w:num>
  <w:num w:numId="34" w16cid:durableId="1939830329">
    <w:abstractNumId w:val="40"/>
  </w:num>
  <w:num w:numId="35" w16cid:durableId="489833438">
    <w:abstractNumId w:val="24"/>
  </w:num>
  <w:num w:numId="36" w16cid:durableId="438918999">
    <w:abstractNumId w:val="33"/>
  </w:num>
  <w:num w:numId="37" w16cid:durableId="852377238">
    <w:abstractNumId w:val="28"/>
  </w:num>
  <w:num w:numId="38" w16cid:durableId="313485246">
    <w:abstractNumId w:val="32"/>
  </w:num>
  <w:num w:numId="39" w16cid:durableId="55250514">
    <w:abstractNumId w:val="21"/>
  </w:num>
  <w:num w:numId="40" w16cid:durableId="1152139029">
    <w:abstractNumId w:val="30"/>
  </w:num>
  <w:num w:numId="41" w16cid:durableId="1981884670">
    <w:abstractNumId w:val="14"/>
  </w:num>
  <w:num w:numId="42" w16cid:durableId="631134170">
    <w:abstractNumId w:val="8"/>
  </w:num>
  <w:num w:numId="43" w16cid:durableId="75133763">
    <w:abstractNumId w:val="12"/>
  </w:num>
  <w:num w:numId="44" w16cid:durableId="1893417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0A"/>
    <w:rsid w:val="000A5B6B"/>
    <w:rsid w:val="000F7640"/>
    <w:rsid w:val="0011270C"/>
    <w:rsid w:val="001545CA"/>
    <w:rsid w:val="001A4B20"/>
    <w:rsid w:val="001F4F82"/>
    <w:rsid w:val="00230EEF"/>
    <w:rsid w:val="00316D0A"/>
    <w:rsid w:val="00386F2B"/>
    <w:rsid w:val="003B3F44"/>
    <w:rsid w:val="005444FA"/>
    <w:rsid w:val="00616087"/>
    <w:rsid w:val="00653CA9"/>
    <w:rsid w:val="006B6B27"/>
    <w:rsid w:val="006B734B"/>
    <w:rsid w:val="006C2887"/>
    <w:rsid w:val="0074755B"/>
    <w:rsid w:val="00842A5C"/>
    <w:rsid w:val="008B0C13"/>
    <w:rsid w:val="008B1FDC"/>
    <w:rsid w:val="008B743C"/>
    <w:rsid w:val="008B7757"/>
    <w:rsid w:val="008F5A61"/>
    <w:rsid w:val="009047A1"/>
    <w:rsid w:val="00947E31"/>
    <w:rsid w:val="009570D5"/>
    <w:rsid w:val="00A06B05"/>
    <w:rsid w:val="00A31B31"/>
    <w:rsid w:val="00A36C71"/>
    <w:rsid w:val="00A36CF0"/>
    <w:rsid w:val="00A56F47"/>
    <w:rsid w:val="00B03BE0"/>
    <w:rsid w:val="00B52CC7"/>
    <w:rsid w:val="00B533B9"/>
    <w:rsid w:val="00B74E00"/>
    <w:rsid w:val="00B75230"/>
    <w:rsid w:val="00B83119"/>
    <w:rsid w:val="00BE6D08"/>
    <w:rsid w:val="00C304CE"/>
    <w:rsid w:val="00D86A21"/>
    <w:rsid w:val="00DD445A"/>
    <w:rsid w:val="00DE2439"/>
    <w:rsid w:val="00E37FD1"/>
    <w:rsid w:val="00E47A85"/>
    <w:rsid w:val="00E914C2"/>
    <w:rsid w:val="00EB1A45"/>
    <w:rsid w:val="00EC7107"/>
    <w:rsid w:val="00EC730A"/>
    <w:rsid w:val="00EF4048"/>
    <w:rsid w:val="00FD6C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B1E31"/>
  <w15:chartTrackingRefBased/>
  <w15:docId w15:val="{67EB23E1-B194-4731-AAF0-5D9B2D9C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6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6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6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D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D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D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D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6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6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6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D0A"/>
    <w:rPr>
      <w:rFonts w:eastAsiaTheme="majorEastAsia" w:cstheme="majorBidi"/>
      <w:color w:val="272727" w:themeColor="text1" w:themeTint="D8"/>
    </w:rPr>
  </w:style>
  <w:style w:type="paragraph" w:styleId="Title">
    <w:name w:val="Title"/>
    <w:basedOn w:val="Normal"/>
    <w:next w:val="Normal"/>
    <w:link w:val="TitleChar"/>
    <w:uiPriority w:val="10"/>
    <w:qFormat/>
    <w:rsid w:val="00316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D0A"/>
    <w:pPr>
      <w:spacing w:before="160"/>
      <w:jc w:val="center"/>
    </w:pPr>
    <w:rPr>
      <w:i/>
      <w:iCs/>
      <w:color w:val="404040" w:themeColor="text1" w:themeTint="BF"/>
    </w:rPr>
  </w:style>
  <w:style w:type="character" w:customStyle="1" w:styleId="QuoteChar">
    <w:name w:val="Quote Char"/>
    <w:basedOn w:val="DefaultParagraphFont"/>
    <w:link w:val="Quote"/>
    <w:uiPriority w:val="29"/>
    <w:rsid w:val="00316D0A"/>
    <w:rPr>
      <w:i/>
      <w:iCs/>
      <w:color w:val="404040" w:themeColor="text1" w:themeTint="BF"/>
    </w:rPr>
  </w:style>
  <w:style w:type="paragraph" w:styleId="ListParagraph">
    <w:name w:val="List Paragraph"/>
    <w:basedOn w:val="Normal"/>
    <w:uiPriority w:val="34"/>
    <w:qFormat/>
    <w:rsid w:val="00316D0A"/>
    <w:pPr>
      <w:ind w:left="720"/>
      <w:contextualSpacing/>
    </w:pPr>
  </w:style>
  <w:style w:type="character" w:styleId="IntenseEmphasis">
    <w:name w:val="Intense Emphasis"/>
    <w:basedOn w:val="DefaultParagraphFont"/>
    <w:uiPriority w:val="21"/>
    <w:qFormat/>
    <w:rsid w:val="00316D0A"/>
    <w:rPr>
      <w:i/>
      <w:iCs/>
      <w:color w:val="0F4761" w:themeColor="accent1" w:themeShade="BF"/>
    </w:rPr>
  </w:style>
  <w:style w:type="paragraph" w:styleId="IntenseQuote">
    <w:name w:val="Intense Quote"/>
    <w:basedOn w:val="Normal"/>
    <w:next w:val="Normal"/>
    <w:link w:val="IntenseQuoteChar"/>
    <w:uiPriority w:val="30"/>
    <w:qFormat/>
    <w:rsid w:val="00316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D0A"/>
    <w:rPr>
      <w:i/>
      <w:iCs/>
      <w:color w:val="0F4761" w:themeColor="accent1" w:themeShade="BF"/>
    </w:rPr>
  </w:style>
  <w:style w:type="character" w:styleId="IntenseReference">
    <w:name w:val="Intense Reference"/>
    <w:basedOn w:val="DefaultParagraphFont"/>
    <w:uiPriority w:val="32"/>
    <w:qFormat/>
    <w:rsid w:val="00316D0A"/>
    <w:rPr>
      <w:b/>
      <w:bCs/>
      <w:smallCaps/>
      <w:color w:val="0F4761" w:themeColor="accent1" w:themeShade="BF"/>
      <w:spacing w:val="5"/>
    </w:rPr>
  </w:style>
  <w:style w:type="paragraph" w:styleId="TOCHeading">
    <w:name w:val="TOC Heading"/>
    <w:basedOn w:val="Heading1"/>
    <w:next w:val="Normal"/>
    <w:uiPriority w:val="39"/>
    <w:unhideWhenUsed/>
    <w:qFormat/>
    <w:rsid w:val="006B734B"/>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6B734B"/>
    <w:pPr>
      <w:spacing w:after="100"/>
    </w:pPr>
  </w:style>
  <w:style w:type="paragraph" w:styleId="TOC3">
    <w:name w:val="toc 3"/>
    <w:basedOn w:val="Normal"/>
    <w:next w:val="Normal"/>
    <w:autoRedefine/>
    <w:uiPriority w:val="39"/>
    <w:unhideWhenUsed/>
    <w:rsid w:val="006B734B"/>
    <w:pPr>
      <w:spacing w:after="100"/>
      <w:ind w:left="480"/>
    </w:pPr>
  </w:style>
  <w:style w:type="character" w:styleId="Hyperlink">
    <w:name w:val="Hyperlink"/>
    <w:basedOn w:val="DefaultParagraphFont"/>
    <w:uiPriority w:val="99"/>
    <w:unhideWhenUsed/>
    <w:rsid w:val="006B734B"/>
    <w:rPr>
      <w:color w:val="467886" w:themeColor="hyperlink"/>
      <w:u w:val="single"/>
    </w:rPr>
  </w:style>
  <w:style w:type="paragraph" w:styleId="Header">
    <w:name w:val="header"/>
    <w:basedOn w:val="Normal"/>
    <w:link w:val="HeaderChar"/>
    <w:uiPriority w:val="99"/>
    <w:unhideWhenUsed/>
    <w:rsid w:val="00B533B9"/>
    <w:pPr>
      <w:tabs>
        <w:tab w:val="center" w:pos="4252"/>
        <w:tab w:val="right" w:pos="8504"/>
      </w:tabs>
      <w:spacing w:after="0" w:line="240" w:lineRule="auto"/>
    </w:pPr>
  </w:style>
  <w:style w:type="character" w:customStyle="1" w:styleId="HeaderChar">
    <w:name w:val="Header Char"/>
    <w:basedOn w:val="DefaultParagraphFont"/>
    <w:link w:val="Header"/>
    <w:uiPriority w:val="99"/>
    <w:rsid w:val="00B533B9"/>
  </w:style>
  <w:style w:type="paragraph" w:styleId="Footer">
    <w:name w:val="footer"/>
    <w:basedOn w:val="Normal"/>
    <w:link w:val="FooterChar"/>
    <w:uiPriority w:val="99"/>
    <w:unhideWhenUsed/>
    <w:rsid w:val="00B533B9"/>
    <w:pPr>
      <w:tabs>
        <w:tab w:val="center" w:pos="4252"/>
        <w:tab w:val="right" w:pos="8504"/>
      </w:tabs>
      <w:spacing w:after="0" w:line="240" w:lineRule="auto"/>
    </w:pPr>
  </w:style>
  <w:style w:type="character" w:customStyle="1" w:styleId="FooterChar">
    <w:name w:val="Footer Char"/>
    <w:basedOn w:val="DefaultParagraphFont"/>
    <w:link w:val="Footer"/>
    <w:uiPriority w:val="99"/>
    <w:rsid w:val="00B533B9"/>
  </w:style>
  <w:style w:type="character" w:styleId="PlaceholderText">
    <w:name w:val="Placeholder Text"/>
    <w:basedOn w:val="DefaultParagraphFont"/>
    <w:uiPriority w:val="99"/>
    <w:semiHidden/>
    <w:rsid w:val="00A36CF0"/>
    <w:rPr>
      <w:color w:val="666666"/>
    </w:rPr>
  </w:style>
  <w:style w:type="paragraph" w:styleId="NormalWeb">
    <w:name w:val="Normal (Web)"/>
    <w:basedOn w:val="Normal"/>
    <w:uiPriority w:val="99"/>
    <w:semiHidden/>
    <w:unhideWhenUsed/>
    <w:rsid w:val="008B1FDC"/>
    <w:rPr>
      <w:rFonts w:ascii="Times New Roman" w:hAnsi="Times New Roman" w:cs="Times New Roman"/>
    </w:rPr>
  </w:style>
  <w:style w:type="paragraph" w:styleId="TOC2">
    <w:name w:val="toc 2"/>
    <w:basedOn w:val="Normal"/>
    <w:next w:val="Normal"/>
    <w:autoRedefine/>
    <w:uiPriority w:val="39"/>
    <w:unhideWhenUsed/>
    <w:rsid w:val="008B0C13"/>
    <w:pPr>
      <w:spacing w:after="100" w:line="259" w:lineRule="auto"/>
      <w:ind w:left="220"/>
    </w:pPr>
    <w:rPr>
      <w:rFonts w:eastAsiaTheme="minorEastAsia"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0665">
      <w:bodyDiv w:val="1"/>
      <w:marLeft w:val="0"/>
      <w:marRight w:val="0"/>
      <w:marTop w:val="0"/>
      <w:marBottom w:val="0"/>
      <w:divBdr>
        <w:top w:val="none" w:sz="0" w:space="0" w:color="auto"/>
        <w:left w:val="none" w:sz="0" w:space="0" w:color="auto"/>
        <w:bottom w:val="none" w:sz="0" w:space="0" w:color="auto"/>
        <w:right w:val="none" w:sz="0" w:space="0" w:color="auto"/>
      </w:divBdr>
    </w:div>
    <w:div w:id="119956007">
      <w:bodyDiv w:val="1"/>
      <w:marLeft w:val="0"/>
      <w:marRight w:val="0"/>
      <w:marTop w:val="0"/>
      <w:marBottom w:val="0"/>
      <w:divBdr>
        <w:top w:val="none" w:sz="0" w:space="0" w:color="auto"/>
        <w:left w:val="none" w:sz="0" w:space="0" w:color="auto"/>
        <w:bottom w:val="none" w:sz="0" w:space="0" w:color="auto"/>
        <w:right w:val="none" w:sz="0" w:space="0" w:color="auto"/>
      </w:divBdr>
    </w:div>
    <w:div w:id="269433675">
      <w:bodyDiv w:val="1"/>
      <w:marLeft w:val="0"/>
      <w:marRight w:val="0"/>
      <w:marTop w:val="0"/>
      <w:marBottom w:val="0"/>
      <w:divBdr>
        <w:top w:val="none" w:sz="0" w:space="0" w:color="auto"/>
        <w:left w:val="none" w:sz="0" w:space="0" w:color="auto"/>
        <w:bottom w:val="none" w:sz="0" w:space="0" w:color="auto"/>
        <w:right w:val="none" w:sz="0" w:space="0" w:color="auto"/>
      </w:divBdr>
    </w:div>
    <w:div w:id="360280106">
      <w:bodyDiv w:val="1"/>
      <w:marLeft w:val="0"/>
      <w:marRight w:val="0"/>
      <w:marTop w:val="0"/>
      <w:marBottom w:val="0"/>
      <w:divBdr>
        <w:top w:val="none" w:sz="0" w:space="0" w:color="auto"/>
        <w:left w:val="none" w:sz="0" w:space="0" w:color="auto"/>
        <w:bottom w:val="none" w:sz="0" w:space="0" w:color="auto"/>
        <w:right w:val="none" w:sz="0" w:space="0" w:color="auto"/>
      </w:divBdr>
    </w:div>
    <w:div w:id="364601736">
      <w:bodyDiv w:val="1"/>
      <w:marLeft w:val="0"/>
      <w:marRight w:val="0"/>
      <w:marTop w:val="0"/>
      <w:marBottom w:val="0"/>
      <w:divBdr>
        <w:top w:val="none" w:sz="0" w:space="0" w:color="auto"/>
        <w:left w:val="none" w:sz="0" w:space="0" w:color="auto"/>
        <w:bottom w:val="none" w:sz="0" w:space="0" w:color="auto"/>
        <w:right w:val="none" w:sz="0" w:space="0" w:color="auto"/>
      </w:divBdr>
    </w:div>
    <w:div w:id="389815048">
      <w:bodyDiv w:val="1"/>
      <w:marLeft w:val="0"/>
      <w:marRight w:val="0"/>
      <w:marTop w:val="0"/>
      <w:marBottom w:val="0"/>
      <w:divBdr>
        <w:top w:val="none" w:sz="0" w:space="0" w:color="auto"/>
        <w:left w:val="none" w:sz="0" w:space="0" w:color="auto"/>
        <w:bottom w:val="none" w:sz="0" w:space="0" w:color="auto"/>
        <w:right w:val="none" w:sz="0" w:space="0" w:color="auto"/>
      </w:divBdr>
    </w:div>
    <w:div w:id="423768394">
      <w:bodyDiv w:val="1"/>
      <w:marLeft w:val="0"/>
      <w:marRight w:val="0"/>
      <w:marTop w:val="0"/>
      <w:marBottom w:val="0"/>
      <w:divBdr>
        <w:top w:val="none" w:sz="0" w:space="0" w:color="auto"/>
        <w:left w:val="none" w:sz="0" w:space="0" w:color="auto"/>
        <w:bottom w:val="none" w:sz="0" w:space="0" w:color="auto"/>
        <w:right w:val="none" w:sz="0" w:space="0" w:color="auto"/>
      </w:divBdr>
    </w:div>
    <w:div w:id="435371242">
      <w:bodyDiv w:val="1"/>
      <w:marLeft w:val="0"/>
      <w:marRight w:val="0"/>
      <w:marTop w:val="0"/>
      <w:marBottom w:val="0"/>
      <w:divBdr>
        <w:top w:val="none" w:sz="0" w:space="0" w:color="auto"/>
        <w:left w:val="none" w:sz="0" w:space="0" w:color="auto"/>
        <w:bottom w:val="none" w:sz="0" w:space="0" w:color="auto"/>
        <w:right w:val="none" w:sz="0" w:space="0" w:color="auto"/>
      </w:divBdr>
    </w:div>
    <w:div w:id="447622578">
      <w:bodyDiv w:val="1"/>
      <w:marLeft w:val="0"/>
      <w:marRight w:val="0"/>
      <w:marTop w:val="0"/>
      <w:marBottom w:val="0"/>
      <w:divBdr>
        <w:top w:val="none" w:sz="0" w:space="0" w:color="auto"/>
        <w:left w:val="none" w:sz="0" w:space="0" w:color="auto"/>
        <w:bottom w:val="none" w:sz="0" w:space="0" w:color="auto"/>
        <w:right w:val="none" w:sz="0" w:space="0" w:color="auto"/>
      </w:divBdr>
    </w:div>
    <w:div w:id="471750091">
      <w:bodyDiv w:val="1"/>
      <w:marLeft w:val="0"/>
      <w:marRight w:val="0"/>
      <w:marTop w:val="0"/>
      <w:marBottom w:val="0"/>
      <w:divBdr>
        <w:top w:val="none" w:sz="0" w:space="0" w:color="auto"/>
        <w:left w:val="none" w:sz="0" w:space="0" w:color="auto"/>
        <w:bottom w:val="none" w:sz="0" w:space="0" w:color="auto"/>
        <w:right w:val="none" w:sz="0" w:space="0" w:color="auto"/>
      </w:divBdr>
    </w:div>
    <w:div w:id="491213122">
      <w:bodyDiv w:val="1"/>
      <w:marLeft w:val="0"/>
      <w:marRight w:val="0"/>
      <w:marTop w:val="0"/>
      <w:marBottom w:val="0"/>
      <w:divBdr>
        <w:top w:val="none" w:sz="0" w:space="0" w:color="auto"/>
        <w:left w:val="none" w:sz="0" w:space="0" w:color="auto"/>
        <w:bottom w:val="none" w:sz="0" w:space="0" w:color="auto"/>
        <w:right w:val="none" w:sz="0" w:space="0" w:color="auto"/>
      </w:divBdr>
    </w:div>
    <w:div w:id="512233856">
      <w:bodyDiv w:val="1"/>
      <w:marLeft w:val="0"/>
      <w:marRight w:val="0"/>
      <w:marTop w:val="0"/>
      <w:marBottom w:val="0"/>
      <w:divBdr>
        <w:top w:val="none" w:sz="0" w:space="0" w:color="auto"/>
        <w:left w:val="none" w:sz="0" w:space="0" w:color="auto"/>
        <w:bottom w:val="none" w:sz="0" w:space="0" w:color="auto"/>
        <w:right w:val="none" w:sz="0" w:space="0" w:color="auto"/>
      </w:divBdr>
    </w:div>
    <w:div w:id="548687721">
      <w:bodyDiv w:val="1"/>
      <w:marLeft w:val="0"/>
      <w:marRight w:val="0"/>
      <w:marTop w:val="0"/>
      <w:marBottom w:val="0"/>
      <w:divBdr>
        <w:top w:val="none" w:sz="0" w:space="0" w:color="auto"/>
        <w:left w:val="none" w:sz="0" w:space="0" w:color="auto"/>
        <w:bottom w:val="none" w:sz="0" w:space="0" w:color="auto"/>
        <w:right w:val="none" w:sz="0" w:space="0" w:color="auto"/>
      </w:divBdr>
    </w:div>
    <w:div w:id="553086075">
      <w:bodyDiv w:val="1"/>
      <w:marLeft w:val="0"/>
      <w:marRight w:val="0"/>
      <w:marTop w:val="0"/>
      <w:marBottom w:val="0"/>
      <w:divBdr>
        <w:top w:val="none" w:sz="0" w:space="0" w:color="auto"/>
        <w:left w:val="none" w:sz="0" w:space="0" w:color="auto"/>
        <w:bottom w:val="none" w:sz="0" w:space="0" w:color="auto"/>
        <w:right w:val="none" w:sz="0" w:space="0" w:color="auto"/>
      </w:divBdr>
    </w:div>
    <w:div w:id="596524279">
      <w:bodyDiv w:val="1"/>
      <w:marLeft w:val="0"/>
      <w:marRight w:val="0"/>
      <w:marTop w:val="0"/>
      <w:marBottom w:val="0"/>
      <w:divBdr>
        <w:top w:val="none" w:sz="0" w:space="0" w:color="auto"/>
        <w:left w:val="none" w:sz="0" w:space="0" w:color="auto"/>
        <w:bottom w:val="none" w:sz="0" w:space="0" w:color="auto"/>
        <w:right w:val="none" w:sz="0" w:space="0" w:color="auto"/>
      </w:divBdr>
    </w:div>
    <w:div w:id="622658951">
      <w:bodyDiv w:val="1"/>
      <w:marLeft w:val="0"/>
      <w:marRight w:val="0"/>
      <w:marTop w:val="0"/>
      <w:marBottom w:val="0"/>
      <w:divBdr>
        <w:top w:val="none" w:sz="0" w:space="0" w:color="auto"/>
        <w:left w:val="none" w:sz="0" w:space="0" w:color="auto"/>
        <w:bottom w:val="none" w:sz="0" w:space="0" w:color="auto"/>
        <w:right w:val="none" w:sz="0" w:space="0" w:color="auto"/>
      </w:divBdr>
    </w:div>
    <w:div w:id="715154559">
      <w:bodyDiv w:val="1"/>
      <w:marLeft w:val="0"/>
      <w:marRight w:val="0"/>
      <w:marTop w:val="0"/>
      <w:marBottom w:val="0"/>
      <w:divBdr>
        <w:top w:val="none" w:sz="0" w:space="0" w:color="auto"/>
        <w:left w:val="none" w:sz="0" w:space="0" w:color="auto"/>
        <w:bottom w:val="none" w:sz="0" w:space="0" w:color="auto"/>
        <w:right w:val="none" w:sz="0" w:space="0" w:color="auto"/>
      </w:divBdr>
    </w:div>
    <w:div w:id="745103955">
      <w:bodyDiv w:val="1"/>
      <w:marLeft w:val="0"/>
      <w:marRight w:val="0"/>
      <w:marTop w:val="0"/>
      <w:marBottom w:val="0"/>
      <w:divBdr>
        <w:top w:val="none" w:sz="0" w:space="0" w:color="auto"/>
        <w:left w:val="none" w:sz="0" w:space="0" w:color="auto"/>
        <w:bottom w:val="none" w:sz="0" w:space="0" w:color="auto"/>
        <w:right w:val="none" w:sz="0" w:space="0" w:color="auto"/>
      </w:divBdr>
    </w:div>
    <w:div w:id="753404695">
      <w:bodyDiv w:val="1"/>
      <w:marLeft w:val="0"/>
      <w:marRight w:val="0"/>
      <w:marTop w:val="0"/>
      <w:marBottom w:val="0"/>
      <w:divBdr>
        <w:top w:val="none" w:sz="0" w:space="0" w:color="auto"/>
        <w:left w:val="none" w:sz="0" w:space="0" w:color="auto"/>
        <w:bottom w:val="none" w:sz="0" w:space="0" w:color="auto"/>
        <w:right w:val="none" w:sz="0" w:space="0" w:color="auto"/>
      </w:divBdr>
    </w:div>
    <w:div w:id="797145214">
      <w:bodyDiv w:val="1"/>
      <w:marLeft w:val="0"/>
      <w:marRight w:val="0"/>
      <w:marTop w:val="0"/>
      <w:marBottom w:val="0"/>
      <w:divBdr>
        <w:top w:val="none" w:sz="0" w:space="0" w:color="auto"/>
        <w:left w:val="none" w:sz="0" w:space="0" w:color="auto"/>
        <w:bottom w:val="none" w:sz="0" w:space="0" w:color="auto"/>
        <w:right w:val="none" w:sz="0" w:space="0" w:color="auto"/>
      </w:divBdr>
    </w:div>
    <w:div w:id="869538446">
      <w:bodyDiv w:val="1"/>
      <w:marLeft w:val="0"/>
      <w:marRight w:val="0"/>
      <w:marTop w:val="0"/>
      <w:marBottom w:val="0"/>
      <w:divBdr>
        <w:top w:val="none" w:sz="0" w:space="0" w:color="auto"/>
        <w:left w:val="none" w:sz="0" w:space="0" w:color="auto"/>
        <w:bottom w:val="none" w:sz="0" w:space="0" w:color="auto"/>
        <w:right w:val="none" w:sz="0" w:space="0" w:color="auto"/>
      </w:divBdr>
    </w:div>
    <w:div w:id="917708026">
      <w:bodyDiv w:val="1"/>
      <w:marLeft w:val="0"/>
      <w:marRight w:val="0"/>
      <w:marTop w:val="0"/>
      <w:marBottom w:val="0"/>
      <w:divBdr>
        <w:top w:val="none" w:sz="0" w:space="0" w:color="auto"/>
        <w:left w:val="none" w:sz="0" w:space="0" w:color="auto"/>
        <w:bottom w:val="none" w:sz="0" w:space="0" w:color="auto"/>
        <w:right w:val="none" w:sz="0" w:space="0" w:color="auto"/>
      </w:divBdr>
    </w:div>
    <w:div w:id="933708388">
      <w:bodyDiv w:val="1"/>
      <w:marLeft w:val="0"/>
      <w:marRight w:val="0"/>
      <w:marTop w:val="0"/>
      <w:marBottom w:val="0"/>
      <w:divBdr>
        <w:top w:val="none" w:sz="0" w:space="0" w:color="auto"/>
        <w:left w:val="none" w:sz="0" w:space="0" w:color="auto"/>
        <w:bottom w:val="none" w:sz="0" w:space="0" w:color="auto"/>
        <w:right w:val="none" w:sz="0" w:space="0" w:color="auto"/>
      </w:divBdr>
    </w:div>
    <w:div w:id="1021468410">
      <w:bodyDiv w:val="1"/>
      <w:marLeft w:val="0"/>
      <w:marRight w:val="0"/>
      <w:marTop w:val="0"/>
      <w:marBottom w:val="0"/>
      <w:divBdr>
        <w:top w:val="none" w:sz="0" w:space="0" w:color="auto"/>
        <w:left w:val="none" w:sz="0" w:space="0" w:color="auto"/>
        <w:bottom w:val="none" w:sz="0" w:space="0" w:color="auto"/>
        <w:right w:val="none" w:sz="0" w:space="0" w:color="auto"/>
      </w:divBdr>
    </w:div>
    <w:div w:id="1027951502">
      <w:bodyDiv w:val="1"/>
      <w:marLeft w:val="0"/>
      <w:marRight w:val="0"/>
      <w:marTop w:val="0"/>
      <w:marBottom w:val="0"/>
      <w:divBdr>
        <w:top w:val="none" w:sz="0" w:space="0" w:color="auto"/>
        <w:left w:val="none" w:sz="0" w:space="0" w:color="auto"/>
        <w:bottom w:val="none" w:sz="0" w:space="0" w:color="auto"/>
        <w:right w:val="none" w:sz="0" w:space="0" w:color="auto"/>
      </w:divBdr>
    </w:div>
    <w:div w:id="1084763209">
      <w:bodyDiv w:val="1"/>
      <w:marLeft w:val="0"/>
      <w:marRight w:val="0"/>
      <w:marTop w:val="0"/>
      <w:marBottom w:val="0"/>
      <w:divBdr>
        <w:top w:val="none" w:sz="0" w:space="0" w:color="auto"/>
        <w:left w:val="none" w:sz="0" w:space="0" w:color="auto"/>
        <w:bottom w:val="none" w:sz="0" w:space="0" w:color="auto"/>
        <w:right w:val="none" w:sz="0" w:space="0" w:color="auto"/>
      </w:divBdr>
    </w:div>
    <w:div w:id="1143892059">
      <w:bodyDiv w:val="1"/>
      <w:marLeft w:val="0"/>
      <w:marRight w:val="0"/>
      <w:marTop w:val="0"/>
      <w:marBottom w:val="0"/>
      <w:divBdr>
        <w:top w:val="none" w:sz="0" w:space="0" w:color="auto"/>
        <w:left w:val="none" w:sz="0" w:space="0" w:color="auto"/>
        <w:bottom w:val="none" w:sz="0" w:space="0" w:color="auto"/>
        <w:right w:val="none" w:sz="0" w:space="0" w:color="auto"/>
      </w:divBdr>
    </w:div>
    <w:div w:id="1155951342">
      <w:bodyDiv w:val="1"/>
      <w:marLeft w:val="0"/>
      <w:marRight w:val="0"/>
      <w:marTop w:val="0"/>
      <w:marBottom w:val="0"/>
      <w:divBdr>
        <w:top w:val="none" w:sz="0" w:space="0" w:color="auto"/>
        <w:left w:val="none" w:sz="0" w:space="0" w:color="auto"/>
        <w:bottom w:val="none" w:sz="0" w:space="0" w:color="auto"/>
        <w:right w:val="none" w:sz="0" w:space="0" w:color="auto"/>
      </w:divBdr>
    </w:div>
    <w:div w:id="1213544218">
      <w:bodyDiv w:val="1"/>
      <w:marLeft w:val="0"/>
      <w:marRight w:val="0"/>
      <w:marTop w:val="0"/>
      <w:marBottom w:val="0"/>
      <w:divBdr>
        <w:top w:val="none" w:sz="0" w:space="0" w:color="auto"/>
        <w:left w:val="none" w:sz="0" w:space="0" w:color="auto"/>
        <w:bottom w:val="none" w:sz="0" w:space="0" w:color="auto"/>
        <w:right w:val="none" w:sz="0" w:space="0" w:color="auto"/>
      </w:divBdr>
    </w:div>
    <w:div w:id="1214586384">
      <w:bodyDiv w:val="1"/>
      <w:marLeft w:val="0"/>
      <w:marRight w:val="0"/>
      <w:marTop w:val="0"/>
      <w:marBottom w:val="0"/>
      <w:divBdr>
        <w:top w:val="none" w:sz="0" w:space="0" w:color="auto"/>
        <w:left w:val="none" w:sz="0" w:space="0" w:color="auto"/>
        <w:bottom w:val="none" w:sz="0" w:space="0" w:color="auto"/>
        <w:right w:val="none" w:sz="0" w:space="0" w:color="auto"/>
      </w:divBdr>
    </w:div>
    <w:div w:id="1225214505">
      <w:bodyDiv w:val="1"/>
      <w:marLeft w:val="0"/>
      <w:marRight w:val="0"/>
      <w:marTop w:val="0"/>
      <w:marBottom w:val="0"/>
      <w:divBdr>
        <w:top w:val="none" w:sz="0" w:space="0" w:color="auto"/>
        <w:left w:val="none" w:sz="0" w:space="0" w:color="auto"/>
        <w:bottom w:val="none" w:sz="0" w:space="0" w:color="auto"/>
        <w:right w:val="none" w:sz="0" w:space="0" w:color="auto"/>
      </w:divBdr>
    </w:div>
    <w:div w:id="1227306089">
      <w:bodyDiv w:val="1"/>
      <w:marLeft w:val="0"/>
      <w:marRight w:val="0"/>
      <w:marTop w:val="0"/>
      <w:marBottom w:val="0"/>
      <w:divBdr>
        <w:top w:val="none" w:sz="0" w:space="0" w:color="auto"/>
        <w:left w:val="none" w:sz="0" w:space="0" w:color="auto"/>
        <w:bottom w:val="none" w:sz="0" w:space="0" w:color="auto"/>
        <w:right w:val="none" w:sz="0" w:space="0" w:color="auto"/>
      </w:divBdr>
    </w:div>
    <w:div w:id="1244102332">
      <w:bodyDiv w:val="1"/>
      <w:marLeft w:val="0"/>
      <w:marRight w:val="0"/>
      <w:marTop w:val="0"/>
      <w:marBottom w:val="0"/>
      <w:divBdr>
        <w:top w:val="none" w:sz="0" w:space="0" w:color="auto"/>
        <w:left w:val="none" w:sz="0" w:space="0" w:color="auto"/>
        <w:bottom w:val="none" w:sz="0" w:space="0" w:color="auto"/>
        <w:right w:val="none" w:sz="0" w:space="0" w:color="auto"/>
      </w:divBdr>
    </w:div>
    <w:div w:id="1311129654">
      <w:bodyDiv w:val="1"/>
      <w:marLeft w:val="0"/>
      <w:marRight w:val="0"/>
      <w:marTop w:val="0"/>
      <w:marBottom w:val="0"/>
      <w:divBdr>
        <w:top w:val="none" w:sz="0" w:space="0" w:color="auto"/>
        <w:left w:val="none" w:sz="0" w:space="0" w:color="auto"/>
        <w:bottom w:val="none" w:sz="0" w:space="0" w:color="auto"/>
        <w:right w:val="none" w:sz="0" w:space="0" w:color="auto"/>
      </w:divBdr>
    </w:div>
    <w:div w:id="1326132467">
      <w:bodyDiv w:val="1"/>
      <w:marLeft w:val="0"/>
      <w:marRight w:val="0"/>
      <w:marTop w:val="0"/>
      <w:marBottom w:val="0"/>
      <w:divBdr>
        <w:top w:val="none" w:sz="0" w:space="0" w:color="auto"/>
        <w:left w:val="none" w:sz="0" w:space="0" w:color="auto"/>
        <w:bottom w:val="none" w:sz="0" w:space="0" w:color="auto"/>
        <w:right w:val="none" w:sz="0" w:space="0" w:color="auto"/>
      </w:divBdr>
    </w:div>
    <w:div w:id="1393315138">
      <w:bodyDiv w:val="1"/>
      <w:marLeft w:val="0"/>
      <w:marRight w:val="0"/>
      <w:marTop w:val="0"/>
      <w:marBottom w:val="0"/>
      <w:divBdr>
        <w:top w:val="none" w:sz="0" w:space="0" w:color="auto"/>
        <w:left w:val="none" w:sz="0" w:space="0" w:color="auto"/>
        <w:bottom w:val="none" w:sz="0" w:space="0" w:color="auto"/>
        <w:right w:val="none" w:sz="0" w:space="0" w:color="auto"/>
      </w:divBdr>
    </w:div>
    <w:div w:id="1409688800">
      <w:bodyDiv w:val="1"/>
      <w:marLeft w:val="0"/>
      <w:marRight w:val="0"/>
      <w:marTop w:val="0"/>
      <w:marBottom w:val="0"/>
      <w:divBdr>
        <w:top w:val="none" w:sz="0" w:space="0" w:color="auto"/>
        <w:left w:val="none" w:sz="0" w:space="0" w:color="auto"/>
        <w:bottom w:val="none" w:sz="0" w:space="0" w:color="auto"/>
        <w:right w:val="none" w:sz="0" w:space="0" w:color="auto"/>
      </w:divBdr>
      <w:divsChild>
        <w:div w:id="485899050">
          <w:marLeft w:val="0"/>
          <w:marRight w:val="0"/>
          <w:marTop w:val="0"/>
          <w:marBottom w:val="160"/>
          <w:divBdr>
            <w:top w:val="none" w:sz="0" w:space="0" w:color="auto"/>
            <w:left w:val="none" w:sz="0" w:space="0" w:color="auto"/>
            <w:bottom w:val="none" w:sz="0" w:space="0" w:color="auto"/>
            <w:right w:val="none" w:sz="0" w:space="0" w:color="auto"/>
          </w:divBdr>
        </w:div>
      </w:divsChild>
    </w:div>
    <w:div w:id="1469587082">
      <w:bodyDiv w:val="1"/>
      <w:marLeft w:val="0"/>
      <w:marRight w:val="0"/>
      <w:marTop w:val="0"/>
      <w:marBottom w:val="0"/>
      <w:divBdr>
        <w:top w:val="none" w:sz="0" w:space="0" w:color="auto"/>
        <w:left w:val="none" w:sz="0" w:space="0" w:color="auto"/>
        <w:bottom w:val="none" w:sz="0" w:space="0" w:color="auto"/>
        <w:right w:val="none" w:sz="0" w:space="0" w:color="auto"/>
      </w:divBdr>
    </w:div>
    <w:div w:id="1512333954">
      <w:bodyDiv w:val="1"/>
      <w:marLeft w:val="0"/>
      <w:marRight w:val="0"/>
      <w:marTop w:val="0"/>
      <w:marBottom w:val="0"/>
      <w:divBdr>
        <w:top w:val="none" w:sz="0" w:space="0" w:color="auto"/>
        <w:left w:val="none" w:sz="0" w:space="0" w:color="auto"/>
        <w:bottom w:val="none" w:sz="0" w:space="0" w:color="auto"/>
        <w:right w:val="none" w:sz="0" w:space="0" w:color="auto"/>
      </w:divBdr>
    </w:div>
    <w:div w:id="1522358177">
      <w:bodyDiv w:val="1"/>
      <w:marLeft w:val="0"/>
      <w:marRight w:val="0"/>
      <w:marTop w:val="0"/>
      <w:marBottom w:val="0"/>
      <w:divBdr>
        <w:top w:val="none" w:sz="0" w:space="0" w:color="auto"/>
        <w:left w:val="none" w:sz="0" w:space="0" w:color="auto"/>
        <w:bottom w:val="none" w:sz="0" w:space="0" w:color="auto"/>
        <w:right w:val="none" w:sz="0" w:space="0" w:color="auto"/>
      </w:divBdr>
    </w:div>
    <w:div w:id="1623800766">
      <w:bodyDiv w:val="1"/>
      <w:marLeft w:val="0"/>
      <w:marRight w:val="0"/>
      <w:marTop w:val="0"/>
      <w:marBottom w:val="0"/>
      <w:divBdr>
        <w:top w:val="none" w:sz="0" w:space="0" w:color="auto"/>
        <w:left w:val="none" w:sz="0" w:space="0" w:color="auto"/>
        <w:bottom w:val="none" w:sz="0" w:space="0" w:color="auto"/>
        <w:right w:val="none" w:sz="0" w:space="0" w:color="auto"/>
      </w:divBdr>
    </w:div>
    <w:div w:id="1653169606">
      <w:bodyDiv w:val="1"/>
      <w:marLeft w:val="0"/>
      <w:marRight w:val="0"/>
      <w:marTop w:val="0"/>
      <w:marBottom w:val="0"/>
      <w:divBdr>
        <w:top w:val="none" w:sz="0" w:space="0" w:color="auto"/>
        <w:left w:val="none" w:sz="0" w:space="0" w:color="auto"/>
        <w:bottom w:val="none" w:sz="0" w:space="0" w:color="auto"/>
        <w:right w:val="none" w:sz="0" w:space="0" w:color="auto"/>
      </w:divBdr>
    </w:div>
    <w:div w:id="1749230817">
      <w:bodyDiv w:val="1"/>
      <w:marLeft w:val="0"/>
      <w:marRight w:val="0"/>
      <w:marTop w:val="0"/>
      <w:marBottom w:val="0"/>
      <w:divBdr>
        <w:top w:val="none" w:sz="0" w:space="0" w:color="auto"/>
        <w:left w:val="none" w:sz="0" w:space="0" w:color="auto"/>
        <w:bottom w:val="none" w:sz="0" w:space="0" w:color="auto"/>
        <w:right w:val="none" w:sz="0" w:space="0" w:color="auto"/>
      </w:divBdr>
    </w:div>
    <w:div w:id="1781954747">
      <w:bodyDiv w:val="1"/>
      <w:marLeft w:val="0"/>
      <w:marRight w:val="0"/>
      <w:marTop w:val="0"/>
      <w:marBottom w:val="0"/>
      <w:divBdr>
        <w:top w:val="none" w:sz="0" w:space="0" w:color="auto"/>
        <w:left w:val="none" w:sz="0" w:space="0" w:color="auto"/>
        <w:bottom w:val="none" w:sz="0" w:space="0" w:color="auto"/>
        <w:right w:val="none" w:sz="0" w:space="0" w:color="auto"/>
      </w:divBdr>
    </w:div>
    <w:div w:id="1846087416">
      <w:bodyDiv w:val="1"/>
      <w:marLeft w:val="0"/>
      <w:marRight w:val="0"/>
      <w:marTop w:val="0"/>
      <w:marBottom w:val="0"/>
      <w:divBdr>
        <w:top w:val="none" w:sz="0" w:space="0" w:color="auto"/>
        <w:left w:val="none" w:sz="0" w:space="0" w:color="auto"/>
        <w:bottom w:val="none" w:sz="0" w:space="0" w:color="auto"/>
        <w:right w:val="none" w:sz="0" w:space="0" w:color="auto"/>
      </w:divBdr>
    </w:div>
    <w:div w:id="1863208027">
      <w:bodyDiv w:val="1"/>
      <w:marLeft w:val="0"/>
      <w:marRight w:val="0"/>
      <w:marTop w:val="0"/>
      <w:marBottom w:val="0"/>
      <w:divBdr>
        <w:top w:val="none" w:sz="0" w:space="0" w:color="auto"/>
        <w:left w:val="none" w:sz="0" w:space="0" w:color="auto"/>
        <w:bottom w:val="none" w:sz="0" w:space="0" w:color="auto"/>
        <w:right w:val="none" w:sz="0" w:space="0" w:color="auto"/>
      </w:divBdr>
    </w:div>
    <w:div w:id="1907833037">
      <w:bodyDiv w:val="1"/>
      <w:marLeft w:val="0"/>
      <w:marRight w:val="0"/>
      <w:marTop w:val="0"/>
      <w:marBottom w:val="0"/>
      <w:divBdr>
        <w:top w:val="none" w:sz="0" w:space="0" w:color="auto"/>
        <w:left w:val="none" w:sz="0" w:space="0" w:color="auto"/>
        <w:bottom w:val="none" w:sz="0" w:space="0" w:color="auto"/>
        <w:right w:val="none" w:sz="0" w:space="0" w:color="auto"/>
      </w:divBdr>
      <w:divsChild>
        <w:div w:id="597951818">
          <w:marLeft w:val="0"/>
          <w:marRight w:val="0"/>
          <w:marTop w:val="0"/>
          <w:marBottom w:val="160"/>
          <w:divBdr>
            <w:top w:val="none" w:sz="0" w:space="0" w:color="auto"/>
            <w:left w:val="none" w:sz="0" w:space="0" w:color="auto"/>
            <w:bottom w:val="none" w:sz="0" w:space="0" w:color="auto"/>
            <w:right w:val="none" w:sz="0" w:space="0" w:color="auto"/>
          </w:divBdr>
        </w:div>
      </w:divsChild>
    </w:div>
    <w:div w:id="1924217705">
      <w:bodyDiv w:val="1"/>
      <w:marLeft w:val="0"/>
      <w:marRight w:val="0"/>
      <w:marTop w:val="0"/>
      <w:marBottom w:val="0"/>
      <w:divBdr>
        <w:top w:val="none" w:sz="0" w:space="0" w:color="auto"/>
        <w:left w:val="none" w:sz="0" w:space="0" w:color="auto"/>
        <w:bottom w:val="none" w:sz="0" w:space="0" w:color="auto"/>
        <w:right w:val="none" w:sz="0" w:space="0" w:color="auto"/>
      </w:divBdr>
    </w:div>
    <w:div w:id="1924796618">
      <w:bodyDiv w:val="1"/>
      <w:marLeft w:val="0"/>
      <w:marRight w:val="0"/>
      <w:marTop w:val="0"/>
      <w:marBottom w:val="0"/>
      <w:divBdr>
        <w:top w:val="none" w:sz="0" w:space="0" w:color="auto"/>
        <w:left w:val="none" w:sz="0" w:space="0" w:color="auto"/>
        <w:bottom w:val="none" w:sz="0" w:space="0" w:color="auto"/>
        <w:right w:val="none" w:sz="0" w:space="0" w:color="auto"/>
      </w:divBdr>
    </w:div>
    <w:div w:id="1942445142">
      <w:bodyDiv w:val="1"/>
      <w:marLeft w:val="0"/>
      <w:marRight w:val="0"/>
      <w:marTop w:val="0"/>
      <w:marBottom w:val="0"/>
      <w:divBdr>
        <w:top w:val="none" w:sz="0" w:space="0" w:color="auto"/>
        <w:left w:val="none" w:sz="0" w:space="0" w:color="auto"/>
        <w:bottom w:val="none" w:sz="0" w:space="0" w:color="auto"/>
        <w:right w:val="none" w:sz="0" w:space="0" w:color="auto"/>
      </w:divBdr>
    </w:div>
    <w:div w:id="2032606848">
      <w:bodyDiv w:val="1"/>
      <w:marLeft w:val="0"/>
      <w:marRight w:val="0"/>
      <w:marTop w:val="0"/>
      <w:marBottom w:val="0"/>
      <w:divBdr>
        <w:top w:val="none" w:sz="0" w:space="0" w:color="auto"/>
        <w:left w:val="none" w:sz="0" w:space="0" w:color="auto"/>
        <w:bottom w:val="none" w:sz="0" w:space="0" w:color="auto"/>
        <w:right w:val="none" w:sz="0" w:space="0" w:color="auto"/>
      </w:divBdr>
    </w:div>
    <w:div w:id="20667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FC9F-1EA1-47E9-82CD-EFBA4A1A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10</Pages>
  <Words>1926</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Cacheiro, Miguel</dc:creator>
  <cp:keywords/>
  <dc:description/>
  <cp:lastModifiedBy>Cacheiro, Miguel</cp:lastModifiedBy>
  <cp:revision>3</cp:revision>
  <dcterms:created xsi:type="dcterms:W3CDTF">2025-03-03T08:12:00Z</dcterms:created>
  <dcterms:modified xsi:type="dcterms:W3CDTF">2025-05-16T09:28:00Z</dcterms:modified>
</cp:coreProperties>
</file>